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CCAE4B">
      <w:pPr>
        <w:pStyle w:val="3"/>
        <w:keepNext w:val="0"/>
        <w:keepLines w:val="0"/>
        <w:widowControl/>
        <w:suppressLineNumbers w:val="0"/>
        <w:shd w:val="clear" w:fill="FFFFFF"/>
        <w:spacing w:before="300" w:beforeAutospacing="0"/>
        <w:ind w:left="0" w:firstLine="0"/>
        <w:jc w:val="center"/>
      </w:pPr>
      <w:bookmarkStart w:id="0" w:name="_Toc8855"/>
      <w:bookmarkStart w:id="1" w:name="_Toc24933"/>
      <w:bookmarkStart w:id="2" w:name="_Toc20771"/>
      <w:bookmarkStart w:id="3" w:name="_Toc27578"/>
      <w:bookmarkStart w:id="4" w:name="_Toc163492819"/>
      <w:bookmarkStart w:id="5" w:name="_Toc7432"/>
      <w:bookmarkStart w:id="6" w:name="_Toc26394"/>
      <w:bookmarkStart w:id="7" w:name="_Toc15233"/>
      <w:bookmarkStart w:id="8" w:name="_Toc21998"/>
      <w:bookmarkStart w:id="9" w:name="_Toc5212"/>
      <w:bookmarkStart w:id="10" w:name="_Toc155185867"/>
      <w:bookmarkStart w:id="11" w:name="_Hlk130458318"/>
      <w:bookmarkStart w:id="12" w:name="_Toc21003"/>
      <w:bookmarkStart w:id="13" w:name="_Toc18696"/>
      <w:bookmarkStart w:id="14" w:name="_Toc3597"/>
      <w:bookmarkStart w:id="15" w:name="_Toc20033"/>
      <w:r>
        <w:rPr>
          <w:rFonts w:hint="eastAsia" w:ascii="Helvetica" w:hAnsi="Helvetica" w:eastAsia="宋体" w:cs="Helvetica"/>
          <w:i w:val="0"/>
          <w:iCs w:val="0"/>
          <w:caps w:val="0"/>
          <w:color w:val="000000"/>
          <w:spacing w:val="0"/>
          <w:shd w:val="clear" w:fill="FFFFFF"/>
          <w:lang w:eastAsia="zh-CN"/>
        </w:rPr>
        <w:t>英山县2025年度中央财政森林可持续经营项目</w:t>
      </w:r>
      <w:r>
        <w:rPr>
          <w:rFonts w:hint="default" w:ascii="Helvetica" w:hAnsi="Helvetica" w:eastAsia="宋体" w:cs="Helvetica"/>
          <w:i w:val="0"/>
          <w:iCs w:val="0"/>
          <w:caps w:val="0"/>
          <w:color w:val="000000"/>
          <w:spacing w:val="0"/>
          <w:shd w:val="clear" w:fill="FFFFFF"/>
          <w:lang w:eastAsia="zh-CN"/>
        </w:rPr>
        <w:t>采购需求征求意见公告</w:t>
      </w:r>
      <w:bookmarkStart w:id="333" w:name="_GoBack"/>
      <w:bookmarkEnd w:id="333"/>
    </w:p>
    <w:p w14:paraId="73CB5BC0">
      <w:pPr>
        <w:pStyle w:val="4"/>
        <w:numPr>
          <w:ilvl w:val="0"/>
          <w:numId w:val="0"/>
        </w:numPr>
        <w:ind w:left="420" w:leftChars="0" w:hanging="420" w:firstLineChars="0"/>
        <w:rPr>
          <w:lang w:val="hr-HR"/>
        </w:rPr>
      </w:pPr>
      <w:bookmarkStart w:id="16" w:name="_Toc35393629"/>
      <w:bookmarkStart w:id="17" w:name="_Toc44583628"/>
      <w:bookmarkStart w:id="18" w:name="_Toc155185860"/>
      <w:bookmarkStart w:id="19" w:name="_Toc109900248"/>
      <w:bookmarkStart w:id="20" w:name="_Toc140132745"/>
      <w:bookmarkStart w:id="21" w:name="_Toc28359012"/>
      <w:bookmarkStart w:id="22" w:name="_Toc10226"/>
      <w:bookmarkStart w:id="23" w:name="_Toc35393798"/>
      <w:bookmarkStart w:id="24" w:name="_Toc24270"/>
      <w:bookmarkStart w:id="25" w:name="_Toc109899410"/>
      <w:bookmarkStart w:id="26" w:name="_Toc28359089"/>
      <w:bookmarkStart w:id="27" w:name="_Toc28405"/>
      <w:bookmarkStart w:id="28" w:name="_Toc15144"/>
      <w:bookmarkStart w:id="29" w:name="_Toc23006"/>
      <w:bookmarkStart w:id="30" w:name="_Toc163492812"/>
      <w:bookmarkStart w:id="31" w:name="_Toc11032"/>
      <w:bookmarkStart w:id="32" w:name="_Toc109899829"/>
      <w:r>
        <w:rPr>
          <w:rFonts w:hint="eastAsia" w:ascii="等线 Light" w:hAnsi="等线 Light" w:eastAsia="宋体" w:cs="Times New Roman"/>
          <w:b/>
          <w:bCs/>
          <w:kern w:val="2"/>
          <w:sz w:val="32"/>
          <w:szCs w:val="32"/>
          <w:lang w:val="hr-HR" w:eastAsia="zh-CN" w:bidi="ar-SA"/>
        </w:rPr>
        <w:t>一、</w:t>
      </w:r>
      <w:r>
        <w:rPr>
          <w:rFonts w:hint="eastAsia"/>
          <w:lang w:val="hr-HR"/>
        </w:rPr>
        <w:t>项目基本情况</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1C60633D">
      <w:pPr>
        <w:pStyle w:val="17"/>
        <w:rPr>
          <w:rFonts w:hint="default" w:eastAsia="宋体"/>
          <w:sz w:val="28"/>
          <w:szCs w:val="28"/>
          <w:lang w:val="en-US" w:eastAsia="zh-CN"/>
        </w:rPr>
      </w:pPr>
      <w:r>
        <w:rPr>
          <w:rFonts w:hint="eastAsia"/>
          <w:sz w:val="28"/>
          <w:szCs w:val="28"/>
          <w:lang w:val="hr-HR"/>
        </w:rPr>
        <w:t>1</w:t>
      </w:r>
      <w:r>
        <w:rPr>
          <w:sz w:val="28"/>
          <w:szCs w:val="28"/>
          <w:lang w:val="hr-HR"/>
        </w:rPr>
        <w:t>.</w:t>
      </w:r>
      <w:r>
        <w:rPr>
          <w:rFonts w:hint="eastAsia"/>
          <w:sz w:val="28"/>
          <w:szCs w:val="28"/>
        </w:rPr>
        <w:t>采购计划备</w:t>
      </w:r>
      <w:r>
        <w:rPr>
          <w:rFonts w:hint="eastAsia"/>
          <w:sz w:val="28"/>
          <w:szCs w:val="28"/>
          <w:highlight w:val="none"/>
        </w:rPr>
        <w:t>案号：</w:t>
      </w:r>
      <w:r>
        <w:rPr>
          <w:rFonts w:hint="eastAsia"/>
          <w:sz w:val="28"/>
          <w:szCs w:val="28"/>
          <w:highlight w:val="none"/>
          <w:lang w:val="en-US" w:eastAsia="zh-CN"/>
        </w:rPr>
        <w:t>421124-2025-00257</w:t>
      </w:r>
    </w:p>
    <w:p w14:paraId="1C43F9BC">
      <w:pPr>
        <w:pStyle w:val="17"/>
        <w:rPr>
          <w:sz w:val="28"/>
          <w:szCs w:val="28"/>
        </w:rPr>
      </w:pPr>
      <w:r>
        <w:rPr>
          <w:rFonts w:hint="eastAsia"/>
          <w:sz w:val="28"/>
          <w:szCs w:val="28"/>
        </w:rPr>
        <w:t>2</w:t>
      </w:r>
      <w:r>
        <w:rPr>
          <w:rFonts w:hint="eastAsia"/>
          <w:sz w:val="28"/>
          <w:szCs w:val="28"/>
          <w:highlight w:val="none"/>
        </w:rPr>
        <w:t>.</w:t>
      </w:r>
      <w:r>
        <w:rPr>
          <w:rFonts w:hint="eastAsia"/>
          <w:sz w:val="28"/>
          <w:szCs w:val="28"/>
          <w:highlight w:val="none"/>
          <w:lang w:val="hr-HR"/>
        </w:rPr>
        <w:t>项目编号：YSCG-20250917-026</w:t>
      </w:r>
    </w:p>
    <w:p w14:paraId="4298A7DD">
      <w:pPr>
        <w:pStyle w:val="17"/>
        <w:rPr>
          <w:rFonts w:hint="eastAsia" w:eastAsia="宋体"/>
          <w:sz w:val="28"/>
          <w:szCs w:val="28"/>
          <w:lang w:val="hr-HR" w:eastAsia="zh-CN"/>
        </w:rPr>
      </w:pPr>
      <w:r>
        <w:rPr>
          <w:sz w:val="28"/>
          <w:szCs w:val="28"/>
          <w:lang w:val="hr-HR"/>
        </w:rPr>
        <w:t>3.</w:t>
      </w:r>
      <w:r>
        <w:rPr>
          <w:rFonts w:hint="eastAsia"/>
          <w:sz w:val="28"/>
          <w:szCs w:val="28"/>
          <w:lang w:val="hr-HR"/>
        </w:rPr>
        <w:t>项目名称：</w:t>
      </w:r>
      <w:r>
        <w:rPr>
          <w:rFonts w:hint="eastAsia"/>
          <w:sz w:val="28"/>
          <w:szCs w:val="28"/>
          <w:lang w:val="hr-HR" w:eastAsia="zh-CN"/>
        </w:rPr>
        <w:t>英山县2025年度中央财政森林可持续经营项目</w:t>
      </w:r>
    </w:p>
    <w:p w14:paraId="7835A449">
      <w:pPr>
        <w:pStyle w:val="17"/>
        <w:rPr>
          <w:sz w:val="28"/>
          <w:szCs w:val="28"/>
          <w:lang w:val="hr-HR"/>
        </w:rPr>
      </w:pPr>
      <w:r>
        <w:rPr>
          <w:rFonts w:hint="eastAsia"/>
          <w:sz w:val="28"/>
          <w:szCs w:val="28"/>
        </w:rPr>
        <w:t>4</w:t>
      </w:r>
      <w:r>
        <w:rPr>
          <w:sz w:val="28"/>
          <w:szCs w:val="28"/>
        </w:rPr>
        <w:t>.</w:t>
      </w:r>
      <w:r>
        <w:rPr>
          <w:rFonts w:hint="eastAsia"/>
          <w:sz w:val="28"/>
          <w:szCs w:val="28"/>
        </w:rPr>
        <w:t>采购方式：公开招标</w:t>
      </w:r>
    </w:p>
    <w:p w14:paraId="6475F0EF">
      <w:pPr>
        <w:pStyle w:val="17"/>
        <w:rPr>
          <w:sz w:val="28"/>
          <w:szCs w:val="28"/>
          <w:highlight w:val="none"/>
          <w:lang w:val="hr-HR"/>
        </w:rPr>
      </w:pPr>
      <w:r>
        <w:rPr>
          <w:sz w:val="28"/>
          <w:szCs w:val="28"/>
        </w:rPr>
        <w:t>5</w:t>
      </w:r>
      <w:r>
        <w:rPr>
          <w:sz w:val="28"/>
          <w:szCs w:val="28"/>
          <w:lang w:val="hr-HR"/>
        </w:rPr>
        <w:t>.</w:t>
      </w:r>
      <w:r>
        <w:rPr>
          <w:rFonts w:hint="eastAsia"/>
          <w:sz w:val="28"/>
          <w:szCs w:val="28"/>
          <w:lang w:val="hr-HR"/>
        </w:rPr>
        <w:t>预算金</w:t>
      </w:r>
      <w:r>
        <w:rPr>
          <w:rFonts w:hint="eastAsia"/>
          <w:sz w:val="28"/>
          <w:szCs w:val="28"/>
          <w:highlight w:val="none"/>
          <w:lang w:val="hr-HR"/>
        </w:rPr>
        <w:t>额：</w:t>
      </w:r>
      <w:r>
        <w:rPr>
          <w:rFonts w:hint="eastAsia"/>
          <w:sz w:val="28"/>
          <w:szCs w:val="28"/>
          <w:highlight w:val="none"/>
          <w:lang w:val="en-US" w:eastAsia="zh-CN"/>
        </w:rPr>
        <w:t>950</w:t>
      </w:r>
      <w:r>
        <w:rPr>
          <w:rFonts w:hint="eastAsia"/>
          <w:sz w:val="28"/>
          <w:szCs w:val="28"/>
          <w:highlight w:val="none"/>
          <w:lang w:val="hr-HR"/>
        </w:rPr>
        <w:t>万元</w:t>
      </w:r>
    </w:p>
    <w:p w14:paraId="5806C661">
      <w:pPr>
        <w:pStyle w:val="17"/>
        <w:rPr>
          <w:sz w:val="28"/>
          <w:szCs w:val="28"/>
          <w:highlight w:val="none"/>
          <w:lang w:val="hr-HR"/>
        </w:rPr>
      </w:pPr>
      <w:r>
        <w:rPr>
          <w:sz w:val="28"/>
          <w:szCs w:val="28"/>
          <w:highlight w:val="none"/>
          <w:lang w:val="hr-HR"/>
        </w:rPr>
        <w:t>6.</w:t>
      </w:r>
      <w:r>
        <w:rPr>
          <w:rFonts w:hint="eastAsia"/>
          <w:sz w:val="28"/>
          <w:szCs w:val="28"/>
          <w:highlight w:val="none"/>
        </w:rPr>
        <w:t>最高限价</w:t>
      </w:r>
      <w:r>
        <w:rPr>
          <w:rFonts w:hint="eastAsia"/>
          <w:sz w:val="28"/>
          <w:szCs w:val="28"/>
          <w:highlight w:val="none"/>
          <w:lang w:val="hr-HR"/>
        </w:rPr>
        <w:t>：</w:t>
      </w:r>
      <w:r>
        <w:rPr>
          <w:rFonts w:hint="eastAsia"/>
          <w:sz w:val="28"/>
          <w:szCs w:val="28"/>
          <w:highlight w:val="none"/>
          <w:lang w:val="en-US" w:eastAsia="zh-CN"/>
        </w:rPr>
        <w:t>9</w:t>
      </w:r>
      <w:r>
        <w:rPr>
          <w:rFonts w:hint="eastAsia"/>
          <w:sz w:val="28"/>
          <w:szCs w:val="28"/>
          <w:highlight w:val="none"/>
          <w:lang w:val="hr-HR"/>
        </w:rPr>
        <w:t>50万元</w:t>
      </w:r>
    </w:p>
    <w:p w14:paraId="1B93EF0E">
      <w:pPr>
        <w:pStyle w:val="17"/>
        <w:rPr>
          <w:rFonts w:hint="default" w:eastAsia="宋体"/>
          <w:sz w:val="28"/>
          <w:szCs w:val="28"/>
          <w:highlight w:val="none"/>
          <w:lang w:val="en-US" w:eastAsia="zh-CN"/>
        </w:rPr>
      </w:pPr>
      <w:r>
        <w:rPr>
          <w:sz w:val="28"/>
          <w:szCs w:val="28"/>
        </w:rPr>
        <w:t>7</w:t>
      </w:r>
      <w:r>
        <w:rPr>
          <w:sz w:val="28"/>
          <w:szCs w:val="28"/>
          <w:lang w:val="hr-HR"/>
        </w:rPr>
        <w:t>.</w:t>
      </w:r>
      <w:r>
        <w:rPr>
          <w:rFonts w:hint="eastAsia"/>
          <w:sz w:val="28"/>
          <w:szCs w:val="28"/>
          <w:highlight w:val="none"/>
          <w:lang w:val="hr-HR"/>
        </w:rPr>
        <w:t>采购需求：</w:t>
      </w:r>
      <w:r>
        <w:rPr>
          <w:rFonts w:hint="eastAsia"/>
          <w:sz w:val="28"/>
          <w:szCs w:val="28"/>
          <w:highlight w:val="none"/>
          <w:lang w:val="hr-HR" w:eastAsia="zh-CN"/>
        </w:rPr>
        <w:t>本项目森林可持续经营实施面积22900亩，建设内容主要包括目标树经营、林分抚育改造、清藤蔓（森林抚育）、林分抚育改造、补植补播等经营措施</w:t>
      </w:r>
      <w:r>
        <w:rPr>
          <w:rFonts w:hint="eastAsia"/>
          <w:sz w:val="28"/>
          <w:szCs w:val="28"/>
          <w:highlight w:val="none"/>
          <w:lang w:val="en-US" w:eastAsia="zh-CN"/>
        </w:rPr>
        <w:t>。</w:t>
      </w:r>
    </w:p>
    <w:p w14:paraId="59B32591">
      <w:pPr>
        <w:pStyle w:val="17"/>
        <w:rPr>
          <w:rFonts w:hint="default" w:eastAsia="宋体"/>
          <w:sz w:val="28"/>
          <w:szCs w:val="28"/>
          <w:highlight w:val="none"/>
          <w:lang w:val="en-US" w:eastAsia="zh-CN"/>
        </w:rPr>
      </w:pPr>
      <w:r>
        <w:rPr>
          <w:sz w:val="28"/>
          <w:szCs w:val="28"/>
          <w:highlight w:val="none"/>
        </w:rPr>
        <w:t>8.</w:t>
      </w:r>
      <w:r>
        <w:rPr>
          <w:rFonts w:hint="eastAsia"/>
          <w:sz w:val="28"/>
          <w:szCs w:val="28"/>
          <w:highlight w:val="none"/>
        </w:rPr>
        <w:t>合同履行期限：</w:t>
      </w:r>
      <w:r>
        <w:rPr>
          <w:rFonts w:hint="eastAsia"/>
          <w:sz w:val="28"/>
          <w:szCs w:val="28"/>
          <w:highlight w:val="none"/>
          <w:lang w:val="en-US" w:eastAsia="zh-CN"/>
        </w:rPr>
        <w:t>180日历天</w:t>
      </w:r>
    </w:p>
    <w:p w14:paraId="029FB1E1">
      <w:pPr>
        <w:pStyle w:val="17"/>
        <w:rPr>
          <w:rFonts w:hint="eastAsia"/>
          <w:sz w:val="28"/>
          <w:szCs w:val="28"/>
          <w:u w:val="none"/>
        </w:rPr>
      </w:pPr>
      <w:bookmarkStart w:id="33" w:name="_Toc28359090"/>
      <w:bookmarkStart w:id="34" w:name="_Toc35393799"/>
      <w:bookmarkStart w:id="35" w:name="_Toc28359013"/>
      <w:bookmarkStart w:id="36" w:name="_Toc35393630"/>
      <w:bookmarkStart w:id="37" w:name="_Toc44583629"/>
      <w:r>
        <w:rPr>
          <w:sz w:val="28"/>
          <w:szCs w:val="28"/>
        </w:rPr>
        <w:t>9</w:t>
      </w:r>
      <w:r>
        <w:rPr>
          <w:rFonts w:hint="eastAsia"/>
          <w:sz w:val="28"/>
          <w:szCs w:val="28"/>
        </w:rPr>
        <w:t>.</w:t>
      </w:r>
      <w:bookmarkStart w:id="38" w:name="_Hlk162011358"/>
      <w:r>
        <w:rPr>
          <w:rFonts w:hint="eastAsia"/>
          <w:sz w:val="28"/>
          <w:szCs w:val="28"/>
          <w:u w:val="none"/>
        </w:rPr>
        <w:t>（是/否）</w:t>
      </w:r>
      <w:r>
        <w:rPr>
          <w:rFonts w:hint="eastAsia"/>
          <w:sz w:val="28"/>
          <w:szCs w:val="28"/>
        </w:rPr>
        <w:t>接受联合体投标：</w:t>
      </w:r>
      <w:r>
        <w:rPr>
          <w:rFonts w:hint="eastAsia"/>
          <w:sz w:val="28"/>
          <w:szCs w:val="28"/>
          <w:u w:val="none"/>
        </w:rPr>
        <w:t>否</w:t>
      </w:r>
      <w:bookmarkEnd w:id="38"/>
    </w:p>
    <w:p w14:paraId="15C8AA49">
      <w:pPr>
        <w:pStyle w:val="17"/>
        <w:rPr>
          <w:rFonts w:hint="default" w:eastAsia="宋体"/>
          <w:sz w:val="28"/>
          <w:szCs w:val="28"/>
          <w:u w:val="none"/>
          <w:lang w:val="en-US" w:eastAsia="zh-CN"/>
        </w:rPr>
      </w:pPr>
      <w:r>
        <w:rPr>
          <w:rFonts w:hint="eastAsia"/>
          <w:sz w:val="28"/>
          <w:szCs w:val="28"/>
          <w:u w:val="none"/>
        </w:rPr>
        <w:t>10.（是/否）接受合同分包：</w:t>
      </w:r>
      <w:r>
        <w:rPr>
          <w:rFonts w:hint="eastAsia"/>
          <w:sz w:val="28"/>
          <w:szCs w:val="28"/>
          <w:u w:val="none"/>
          <w:lang w:val="en-US" w:eastAsia="zh-CN"/>
        </w:rPr>
        <w:t>是</w:t>
      </w:r>
    </w:p>
    <w:p w14:paraId="293E09CD">
      <w:pPr>
        <w:pStyle w:val="17"/>
        <w:rPr>
          <w:rFonts w:hint="eastAsia"/>
          <w:sz w:val="28"/>
          <w:szCs w:val="28"/>
          <w:highlight w:val="none"/>
          <w:u w:val="none"/>
        </w:rPr>
      </w:pPr>
      <w:r>
        <w:rPr>
          <w:rFonts w:hint="eastAsia"/>
          <w:sz w:val="28"/>
          <w:szCs w:val="28"/>
          <w:u w:val="none"/>
        </w:rPr>
        <w:t>12.（是/否）专门面向中</w:t>
      </w:r>
      <w:r>
        <w:rPr>
          <w:rFonts w:hint="eastAsia"/>
          <w:sz w:val="28"/>
          <w:szCs w:val="28"/>
          <w:highlight w:val="none"/>
          <w:u w:val="none"/>
        </w:rPr>
        <w:t>小微企业：是</w:t>
      </w:r>
    </w:p>
    <w:p w14:paraId="239D72EA">
      <w:pPr>
        <w:pStyle w:val="17"/>
        <w:outlineLvl w:val="2"/>
        <w:rPr>
          <w:rFonts w:hint="eastAsia"/>
          <w:sz w:val="28"/>
          <w:szCs w:val="28"/>
          <w:highlight w:val="none"/>
          <w:u w:val="none"/>
        </w:rPr>
      </w:pPr>
      <w:bookmarkStart w:id="39" w:name="_Toc2679"/>
      <w:r>
        <w:rPr>
          <w:rFonts w:hint="eastAsia"/>
          <w:sz w:val="28"/>
          <w:szCs w:val="28"/>
          <w:highlight w:val="none"/>
          <w:u w:val="none"/>
        </w:rPr>
        <w:t>13.面向中小微企业的类型为：中小微企业</w:t>
      </w:r>
      <w:bookmarkEnd w:id="39"/>
    </w:p>
    <w:p w14:paraId="2C810371">
      <w:pPr>
        <w:pStyle w:val="4"/>
        <w:numPr>
          <w:ilvl w:val="0"/>
          <w:numId w:val="0"/>
        </w:numPr>
        <w:ind w:left="420" w:leftChars="0" w:hanging="420" w:firstLineChars="0"/>
        <w:rPr>
          <w:rFonts w:hint="eastAsia" w:ascii="等线 Light" w:hAnsi="等线 Light" w:eastAsia="宋体" w:cs="宋体"/>
          <w:b/>
          <w:bCs/>
          <w:kern w:val="2"/>
          <w:sz w:val="32"/>
          <w:szCs w:val="32"/>
          <w:lang w:val="en-US" w:eastAsia="zh-CN" w:bidi="ar-SA"/>
        </w:rPr>
      </w:pPr>
      <w:bookmarkStart w:id="40" w:name="_Toc155185861"/>
      <w:bookmarkStart w:id="41" w:name="_Toc20959"/>
      <w:bookmarkStart w:id="42" w:name="_Toc109900249"/>
      <w:bookmarkStart w:id="43" w:name="_Toc19209"/>
      <w:bookmarkStart w:id="44" w:name="_Toc109899830"/>
      <w:bookmarkStart w:id="45" w:name="_Toc12359"/>
      <w:bookmarkStart w:id="46" w:name="_Toc163492813"/>
      <w:bookmarkStart w:id="47" w:name="_Toc66"/>
      <w:bookmarkStart w:id="48" w:name="_Toc109899411"/>
      <w:bookmarkStart w:id="49" w:name="_Toc21942"/>
      <w:bookmarkStart w:id="50" w:name="_Toc140132746"/>
      <w:bookmarkStart w:id="51" w:name="_Toc18445"/>
      <w:r>
        <w:rPr>
          <w:rFonts w:hint="eastAsia" w:ascii="等线 Light" w:hAnsi="等线 Light" w:eastAsia="宋体" w:cs="宋体"/>
          <w:b/>
          <w:bCs/>
          <w:kern w:val="2"/>
          <w:sz w:val="32"/>
          <w:szCs w:val="32"/>
          <w:lang w:val="en-US" w:eastAsia="zh-CN" w:bidi="ar-SA"/>
        </w:rPr>
        <w:t>二、</w:t>
      </w:r>
      <w:bookmarkEnd w:id="33"/>
      <w:bookmarkEnd w:id="34"/>
      <w:bookmarkEnd w:id="35"/>
      <w:bookmarkEnd w:id="36"/>
      <w:bookmarkEnd w:id="37"/>
      <w:bookmarkEnd w:id="40"/>
      <w:bookmarkEnd w:id="41"/>
      <w:bookmarkEnd w:id="42"/>
      <w:bookmarkEnd w:id="43"/>
      <w:bookmarkEnd w:id="44"/>
      <w:bookmarkEnd w:id="45"/>
      <w:bookmarkEnd w:id="46"/>
      <w:bookmarkEnd w:id="47"/>
      <w:bookmarkEnd w:id="48"/>
      <w:bookmarkEnd w:id="49"/>
      <w:bookmarkEnd w:id="50"/>
      <w:bookmarkEnd w:id="51"/>
      <w:r>
        <w:rPr>
          <w:rFonts w:hint="eastAsia" w:ascii="等线 Light" w:hAnsi="等线 Light" w:eastAsia="宋体" w:cs="宋体"/>
          <w:b/>
          <w:bCs/>
          <w:kern w:val="2"/>
          <w:sz w:val="32"/>
          <w:szCs w:val="32"/>
          <w:lang w:val="en-US" w:eastAsia="zh-CN" w:bidi="ar-SA"/>
        </w:rPr>
        <w:t>征求意见截止日期</w:t>
      </w:r>
    </w:p>
    <w:p w14:paraId="72EBCBDA">
      <w:pPr>
        <w:ind w:firstLine="560" w:firstLineChars="200"/>
        <w:rPr>
          <w:sz w:val="28"/>
          <w:szCs w:val="28"/>
        </w:rPr>
      </w:pPr>
      <w:r>
        <w:rPr>
          <w:rFonts w:hint="eastAsia"/>
          <w:sz w:val="28"/>
          <w:szCs w:val="28"/>
        </w:rPr>
        <w:t>从20</w:t>
      </w:r>
      <w:r>
        <w:rPr>
          <w:rFonts w:hint="eastAsia"/>
          <w:sz w:val="28"/>
          <w:szCs w:val="28"/>
          <w:highlight w:val="none"/>
        </w:rPr>
        <w:t>2</w:t>
      </w:r>
      <w:r>
        <w:rPr>
          <w:rFonts w:hint="eastAsia"/>
          <w:sz w:val="28"/>
          <w:szCs w:val="28"/>
          <w:highlight w:val="none"/>
          <w:lang w:val="en-US" w:eastAsia="zh-CN"/>
        </w:rPr>
        <w:t>5</w:t>
      </w:r>
      <w:r>
        <w:rPr>
          <w:rFonts w:hint="eastAsia"/>
          <w:sz w:val="28"/>
          <w:szCs w:val="28"/>
          <w:highlight w:val="none"/>
        </w:rPr>
        <w:t>年</w:t>
      </w:r>
      <w:r>
        <w:rPr>
          <w:rFonts w:hint="eastAsia"/>
          <w:sz w:val="28"/>
          <w:szCs w:val="28"/>
          <w:highlight w:val="none"/>
          <w:lang w:val="en-US" w:eastAsia="zh-CN"/>
        </w:rPr>
        <w:t>9</w:t>
      </w:r>
      <w:r>
        <w:rPr>
          <w:rFonts w:hint="eastAsia"/>
          <w:sz w:val="28"/>
          <w:szCs w:val="28"/>
          <w:highlight w:val="none"/>
        </w:rPr>
        <w:t>月</w:t>
      </w:r>
      <w:r>
        <w:rPr>
          <w:rFonts w:hint="eastAsia"/>
          <w:sz w:val="28"/>
          <w:szCs w:val="28"/>
          <w:highlight w:val="none"/>
          <w:lang w:val="en-US" w:eastAsia="zh-CN"/>
        </w:rPr>
        <w:t>18</w:t>
      </w:r>
      <w:r>
        <w:rPr>
          <w:rFonts w:hint="eastAsia"/>
          <w:sz w:val="28"/>
          <w:szCs w:val="28"/>
          <w:highlight w:val="none"/>
        </w:rPr>
        <w:t>日至202</w:t>
      </w:r>
      <w:r>
        <w:rPr>
          <w:rFonts w:hint="eastAsia"/>
          <w:sz w:val="28"/>
          <w:szCs w:val="28"/>
          <w:highlight w:val="none"/>
          <w:lang w:val="en-US" w:eastAsia="zh-CN"/>
        </w:rPr>
        <w:t>5</w:t>
      </w:r>
      <w:r>
        <w:rPr>
          <w:rFonts w:hint="eastAsia"/>
          <w:sz w:val="28"/>
          <w:szCs w:val="28"/>
          <w:highlight w:val="none"/>
        </w:rPr>
        <w:t>年</w:t>
      </w:r>
      <w:r>
        <w:rPr>
          <w:rFonts w:hint="eastAsia"/>
          <w:sz w:val="28"/>
          <w:szCs w:val="28"/>
          <w:highlight w:val="none"/>
          <w:lang w:val="en-US" w:eastAsia="zh-CN"/>
        </w:rPr>
        <w:t>9</w:t>
      </w:r>
      <w:r>
        <w:rPr>
          <w:rFonts w:hint="eastAsia"/>
          <w:sz w:val="28"/>
          <w:szCs w:val="28"/>
          <w:highlight w:val="none"/>
        </w:rPr>
        <w:t>月</w:t>
      </w:r>
      <w:r>
        <w:rPr>
          <w:rFonts w:hint="eastAsia"/>
          <w:sz w:val="28"/>
          <w:szCs w:val="28"/>
          <w:highlight w:val="none"/>
          <w:lang w:val="en-US" w:eastAsia="zh-CN"/>
        </w:rPr>
        <w:t>20</w:t>
      </w:r>
      <w:r>
        <w:rPr>
          <w:rFonts w:hint="eastAsia"/>
          <w:sz w:val="28"/>
          <w:szCs w:val="28"/>
          <w:highlight w:val="none"/>
        </w:rPr>
        <w:t>日</w:t>
      </w:r>
    </w:p>
    <w:p w14:paraId="026EA599">
      <w:pPr>
        <w:pStyle w:val="4"/>
        <w:numPr>
          <w:ilvl w:val="0"/>
          <w:numId w:val="2"/>
        </w:numPr>
        <w:ind w:left="420" w:leftChars="0" w:hanging="420" w:firstLineChars="0"/>
        <w:rPr>
          <w:rFonts w:hint="eastAsia"/>
        </w:rPr>
      </w:pPr>
      <w:r>
        <w:rPr>
          <w:rFonts w:hint="eastAsia" w:ascii="等线 Light" w:hAnsi="等线 Light" w:eastAsia="宋体" w:cs="Times New Roman"/>
          <w:b/>
          <w:bCs/>
          <w:kern w:val="2"/>
          <w:sz w:val="32"/>
          <w:szCs w:val="32"/>
          <w:lang w:val="en-US" w:eastAsia="zh-CN" w:bidi="ar-SA"/>
        </w:rPr>
        <w:t>征求意见的提交方式</w:t>
      </w:r>
      <w:r>
        <w:rPr>
          <w:rFonts w:hint="eastAsia"/>
        </w:rPr>
        <w:t xml:space="preserve"> </w:t>
      </w:r>
    </w:p>
    <w:p w14:paraId="21CDCEDA">
      <w:pPr>
        <w:numPr>
          <w:ilvl w:val="0"/>
          <w:numId w:val="0"/>
        </w:numPr>
        <w:ind w:firstLine="560" w:firstLineChars="200"/>
      </w:pPr>
      <w:r>
        <w:rPr>
          <w:rFonts w:hint="eastAsia" w:ascii="宋体" w:hAnsi="宋体" w:eastAsia="宋体" w:cs="宋体"/>
          <w:i w:val="0"/>
          <w:iCs w:val="0"/>
          <w:caps w:val="0"/>
          <w:color w:val="000000"/>
          <w:spacing w:val="0"/>
          <w:sz w:val="28"/>
          <w:szCs w:val="28"/>
          <w:shd w:val="clear" w:fill="FFFFFF"/>
        </w:rPr>
        <w:t>如对采购需求提出相关意见应客观公正、实事求是，并在公示期内将相关意见，加盖单位公章和法人签字的电子文档发送至电子邮箱</w:t>
      </w:r>
      <w:r>
        <w:rPr>
          <w:rFonts w:hint="eastAsia" w:ascii="宋体" w:hAnsi="宋体" w:eastAsia="宋体" w:cs="宋体"/>
          <w:i w:val="0"/>
          <w:iCs w:val="0"/>
          <w:caps w:val="0"/>
          <w:color w:val="000000"/>
          <w:spacing w:val="0"/>
          <w:sz w:val="28"/>
          <w:szCs w:val="28"/>
          <w:shd w:val="clear" w:fill="FFFFFF"/>
          <w:lang w:val="en-US" w:eastAsia="zh-CN"/>
        </w:rPr>
        <w:t>584957590</w:t>
      </w:r>
      <w:r>
        <w:rPr>
          <w:rFonts w:hint="eastAsia" w:ascii="宋体" w:hAnsi="宋体" w:eastAsia="宋体" w:cs="宋体"/>
          <w:i w:val="0"/>
          <w:iCs w:val="0"/>
          <w:caps w:val="0"/>
          <w:color w:val="000000"/>
          <w:spacing w:val="0"/>
          <w:sz w:val="28"/>
          <w:szCs w:val="28"/>
          <w:shd w:val="clear" w:fill="FFFFFF"/>
        </w:rPr>
        <w:t>@qq.com,邮件主题注明“</w:t>
      </w:r>
      <w:r>
        <w:rPr>
          <w:rFonts w:hint="eastAsia" w:ascii="宋体" w:hAnsi="宋体" w:eastAsia="宋体" w:cs="宋体"/>
          <w:i w:val="0"/>
          <w:iCs w:val="0"/>
          <w:caps w:val="0"/>
          <w:color w:val="000000"/>
          <w:spacing w:val="0"/>
          <w:sz w:val="28"/>
          <w:szCs w:val="28"/>
          <w:u w:val="single"/>
          <w:shd w:val="clear" w:fill="FFFFFF"/>
        </w:rPr>
        <w:t>      </w:t>
      </w:r>
      <w:r>
        <w:rPr>
          <w:rFonts w:hint="eastAsia" w:ascii="宋体" w:hAnsi="宋体" w:eastAsia="宋体" w:cs="宋体"/>
          <w:i w:val="0"/>
          <w:iCs w:val="0"/>
          <w:caps w:val="0"/>
          <w:color w:val="000000"/>
          <w:spacing w:val="0"/>
          <w:sz w:val="28"/>
          <w:szCs w:val="28"/>
          <w:shd w:val="clear" w:fill="FFFFFF"/>
        </w:rPr>
        <w:t>（供应商名称）关于</w:t>
      </w:r>
      <w:r>
        <w:rPr>
          <w:rFonts w:hint="eastAsia" w:cs="宋体"/>
          <w:i w:val="0"/>
          <w:iCs w:val="0"/>
          <w:caps w:val="0"/>
          <w:color w:val="000000"/>
          <w:spacing w:val="0"/>
          <w:sz w:val="28"/>
          <w:szCs w:val="28"/>
          <w:shd w:val="clear" w:fill="FFFFFF"/>
          <w:lang w:eastAsia="zh-CN"/>
        </w:rPr>
        <w:t>英山县2025年度中央财政森林可持续经营项目</w:t>
      </w:r>
      <w:r>
        <w:rPr>
          <w:rFonts w:hint="eastAsia" w:ascii="宋体" w:hAnsi="宋体" w:eastAsia="宋体" w:cs="宋体"/>
          <w:i w:val="0"/>
          <w:iCs w:val="0"/>
          <w:caps w:val="0"/>
          <w:color w:val="000000"/>
          <w:spacing w:val="0"/>
          <w:sz w:val="28"/>
          <w:szCs w:val="28"/>
          <w:shd w:val="clear" w:fill="FFFFFF"/>
        </w:rPr>
        <w:t>采购需求反馈意见”，邮件内容应包括供应商名称、供应商联系人姓名、联系方式，格式详见附件。</w:t>
      </w:r>
    </w:p>
    <w:p w14:paraId="44AD6A9F">
      <w:pPr>
        <w:pStyle w:val="4"/>
        <w:numPr>
          <w:ilvl w:val="0"/>
          <w:numId w:val="2"/>
        </w:numPr>
        <w:ind w:left="420" w:leftChars="0" w:hanging="420" w:firstLineChars="0"/>
        <w:rPr>
          <w:rFonts w:hint="eastAsia" w:ascii="等线 Light" w:hAnsi="等线 Light" w:eastAsia="宋体" w:cs="Times New Roman"/>
          <w:b/>
          <w:bCs/>
          <w:kern w:val="2"/>
          <w:sz w:val="32"/>
          <w:szCs w:val="32"/>
          <w:lang w:val="en-US" w:eastAsia="zh-CN" w:bidi="ar-SA"/>
        </w:rPr>
      </w:pPr>
      <w:r>
        <w:rPr>
          <w:rFonts w:hint="eastAsia" w:ascii="等线 Light" w:hAnsi="等线 Light" w:eastAsia="宋体" w:cs="Times New Roman"/>
          <w:b/>
          <w:bCs/>
          <w:kern w:val="2"/>
          <w:sz w:val="32"/>
          <w:szCs w:val="32"/>
          <w:lang w:val="en-US" w:eastAsia="zh-CN" w:bidi="ar-SA"/>
        </w:rPr>
        <w:t>采购文件或采购需求</w:t>
      </w:r>
    </w:p>
    <w:p w14:paraId="6E319BA9">
      <w:pPr>
        <w:numPr>
          <w:ilvl w:val="0"/>
          <w:numId w:val="0"/>
        </w:numPr>
        <w:ind w:firstLine="560" w:firstLineChars="200"/>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rPr>
        <w:t>详见附件</w:t>
      </w:r>
    </w:p>
    <w:p w14:paraId="2962EC46">
      <w:pPr>
        <w:pStyle w:val="4"/>
        <w:numPr>
          <w:ilvl w:val="0"/>
          <w:numId w:val="2"/>
        </w:numPr>
        <w:ind w:left="420" w:leftChars="0" w:hanging="420" w:firstLineChars="0"/>
        <w:rPr>
          <w:rFonts w:hint="eastAsia" w:ascii="等线 Light" w:hAnsi="等线 Light" w:eastAsia="宋体" w:cs="Times New Roman"/>
          <w:b/>
          <w:bCs/>
          <w:kern w:val="2"/>
          <w:sz w:val="32"/>
          <w:szCs w:val="32"/>
          <w:lang w:val="en-US" w:eastAsia="zh-CN" w:bidi="ar-SA"/>
        </w:rPr>
      </w:pPr>
      <w:r>
        <w:rPr>
          <w:rFonts w:hint="eastAsia" w:ascii="等线 Light" w:hAnsi="等线 Light" w:eastAsia="宋体" w:cs="Times New Roman"/>
          <w:b/>
          <w:bCs/>
          <w:kern w:val="2"/>
          <w:sz w:val="32"/>
          <w:szCs w:val="32"/>
          <w:lang w:val="en-US" w:eastAsia="zh-CN" w:bidi="ar-SA"/>
        </w:rPr>
        <w:t>本项目采购人或采购代理机构的情况</w:t>
      </w:r>
    </w:p>
    <w:p w14:paraId="07C6019C">
      <w:pPr>
        <w:pStyle w:val="17"/>
        <w:outlineLvl w:val="2"/>
        <w:rPr>
          <w:rFonts w:hint="eastAsia" w:ascii="宋体" w:hAnsi="宋体" w:eastAsia="宋体" w:cs="宋体"/>
          <w:i w:val="0"/>
          <w:iCs w:val="0"/>
          <w:caps w:val="0"/>
          <w:color w:val="000000"/>
          <w:spacing w:val="0"/>
          <w:kern w:val="2"/>
          <w:sz w:val="28"/>
          <w:szCs w:val="28"/>
          <w:shd w:val="clear" w:fill="FFFFFF"/>
          <w:lang w:val="en-US" w:eastAsia="zh-CN" w:bidi="ar-SA"/>
        </w:rPr>
      </w:pPr>
      <w:r>
        <w:rPr>
          <w:rFonts w:hint="eastAsia" w:cs="宋体"/>
          <w:i w:val="0"/>
          <w:iCs w:val="0"/>
          <w:caps w:val="0"/>
          <w:color w:val="000000"/>
          <w:spacing w:val="0"/>
          <w:kern w:val="2"/>
          <w:sz w:val="28"/>
          <w:szCs w:val="28"/>
          <w:shd w:val="clear" w:fill="FFFFFF"/>
          <w:lang w:val="en-US" w:eastAsia="zh-CN" w:bidi="ar-SA"/>
        </w:rPr>
        <w:t>1.</w:t>
      </w:r>
      <w:r>
        <w:rPr>
          <w:rFonts w:hint="eastAsia" w:ascii="宋体" w:hAnsi="宋体" w:eastAsia="宋体" w:cs="宋体"/>
          <w:i w:val="0"/>
          <w:iCs w:val="0"/>
          <w:caps w:val="0"/>
          <w:color w:val="000000"/>
          <w:spacing w:val="0"/>
          <w:kern w:val="2"/>
          <w:sz w:val="28"/>
          <w:szCs w:val="28"/>
          <w:shd w:val="clear" w:fill="FFFFFF"/>
          <w:lang w:val="en-US" w:eastAsia="zh-CN" w:bidi="ar-SA"/>
        </w:rPr>
        <w:t>采购人信息</w:t>
      </w:r>
    </w:p>
    <w:p w14:paraId="5322E7D4">
      <w:pPr>
        <w:pStyle w:val="17"/>
        <w:rPr>
          <w:rFonts w:hint="eastAsia" w:ascii="宋体" w:hAnsi="宋体" w:eastAsia="宋体" w:cs="宋体"/>
          <w:i w:val="0"/>
          <w:iCs w:val="0"/>
          <w:caps w:val="0"/>
          <w:color w:val="000000"/>
          <w:spacing w:val="0"/>
          <w:kern w:val="2"/>
          <w:sz w:val="28"/>
          <w:szCs w:val="28"/>
          <w:shd w:val="clear" w:fill="FFFFFF"/>
          <w:lang w:val="en-US" w:eastAsia="zh-CN" w:bidi="ar-SA"/>
        </w:rPr>
      </w:pPr>
      <w:r>
        <w:rPr>
          <w:rFonts w:hint="eastAsia" w:ascii="宋体" w:hAnsi="宋体" w:eastAsia="宋体" w:cs="宋体"/>
          <w:i w:val="0"/>
          <w:iCs w:val="0"/>
          <w:caps w:val="0"/>
          <w:color w:val="000000"/>
          <w:spacing w:val="0"/>
          <w:kern w:val="2"/>
          <w:sz w:val="28"/>
          <w:szCs w:val="28"/>
          <w:shd w:val="clear" w:fill="FFFFFF"/>
          <w:lang w:val="en-US" w:eastAsia="zh-CN" w:bidi="ar-SA"/>
        </w:rPr>
        <w:t xml:space="preserve">名称： </w:t>
      </w:r>
      <w:r>
        <w:rPr>
          <w:rFonts w:hint="eastAsia" w:cs="宋体"/>
          <w:i w:val="0"/>
          <w:iCs w:val="0"/>
          <w:caps w:val="0"/>
          <w:color w:val="000000"/>
          <w:spacing w:val="0"/>
          <w:kern w:val="2"/>
          <w:sz w:val="28"/>
          <w:szCs w:val="28"/>
          <w:shd w:val="clear" w:fill="FFFFFF"/>
          <w:lang w:val="en-US" w:eastAsia="zh-CN" w:bidi="ar-SA"/>
        </w:rPr>
        <w:t>英山县林业局</w:t>
      </w:r>
    </w:p>
    <w:p w14:paraId="45B20A8D">
      <w:pPr>
        <w:pStyle w:val="17"/>
        <w:rPr>
          <w:rFonts w:hint="eastAsia" w:ascii="宋体" w:hAnsi="宋体" w:eastAsia="宋体" w:cs="宋体"/>
          <w:i w:val="0"/>
          <w:iCs w:val="0"/>
          <w:caps w:val="0"/>
          <w:color w:val="000000"/>
          <w:spacing w:val="0"/>
          <w:kern w:val="2"/>
          <w:sz w:val="28"/>
          <w:szCs w:val="28"/>
          <w:shd w:val="clear" w:fill="FFFFFF"/>
          <w:lang w:val="en-US" w:eastAsia="zh-CN" w:bidi="ar-SA"/>
        </w:rPr>
      </w:pPr>
      <w:r>
        <w:rPr>
          <w:rFonts w:hint="eastAsia" w:ascii="宋体" w:hAnsi="宋体" w:eastAsia="宋体" w:cs="宋体"/>
          <w:i w:val="0"/>
          <w:iCs w:val="0"/>
          <w:caps w:val="0"/>
          <w:color w:val="000000"/>
          <w:spacing w:val="0"/>
          <w:kern w:val="2"/>
          <w:sz w:val="28"/>
          <w:szCs w:val="28"/>
          <w:shd w:val="clear" w:fill="FFFFFF"/>
          <w:lang w:val="en-US" w:eastAsia="zh-CN" w:bidi="ar-SA"/>
        </w:rPr>
        <w:t xml:space="preserve">地址： 英山县新政务服务中心A栋3楼 </w:t>
      </w:r>
    </w:p>
    <w:p w14:paraId="1DD0A3BF">
      <w:pPr>
        <w:pStyle w:val="17"/>
        <w:rPr>
          <w:rFonts w:hint="eastAsia" w:ascii="宋体" w:hAnsi="宋体" w:eastAsia="宋体" w:cs="宋体"/>
          <w:i w:val="0"/>
          <w:iCs w:val="0"/>
          <w:caps w:val="0"/>
          <w:color w:val="000000"/>
          <w:spacing w:val="0"/>
          <w:kern w:val="2"/>
          <w:sz w:val="28"/>
          <w:szCs w:val="28"/>
          <w:shd w:val="clear" w:fill="FFFFFF"/>
          <w:lang w:val="en-US" w:eastAsia="zh-CN" w:bidi="ar-SA"/>
        </w:rPr>
      </w:pPr>
      <w:r>
        <w:rPr>
          <w:rFonts w:hint="eastAsia" w:ascii="宋体" w:hAnsi="宋体" w:eastAsia="宋体" w:cs="宋体"/>
          <w:i w:val="0"/>
          <w:iCs w:val="0"/>
          <w:caps w:val="0"/>
          <w:color w:val="000000"/>
          <w:spacing w:val="0"/>
          <w:kern w:val="2"/>
          <w:sz w:val="28"/>
          <w:szCs w:val="28"/>
          <w:shd w:val="clear" w:fill="FFFFFF"/>
          <w:lang w:val="en-US" w:eastAsia="zh-CN" w:bidi="ar-SA"/>
        </w:rPr>
        <w:t xml:space="preserve">联系人：陈小祥                    </w:t>
      </w:r>
    </w:p>
    <w:p w14:paraId="5E527666">
      <w:pPr>
        <w:pStyle w:val="17"/>
        <w:rPr>
          <w:rFonts w:hint="default" w:ascii="宋体" w:hAnsi="宋体" w:eastAsia="宋体" w:cs="宋体"/>
          <w:i w:val="0"/>
          <w:iCs w:val="0"/>
          <w:caps w:val="0"/>
          <w:color w:val="000000"/>
          <w:spacing w:val="0"/>
          <w:kern w:val="2"/>
          <w:sz w:val="28"/>
          <w:szCs w:val="28"/>
          <w:shd w:val="clear" w:fill="FFFFFF"/>
          <w:lang w:val="en-US" w:eastAsia="zh-CN" w:bidi="ar-SA"/>
        </w:rPr>
      </w:pPr>
      <w:r>
        <w:rPr>
          <w:rFonts w:hint="eastAsia" w:ascii="宋体" w:hAnsi="宋体" w:eastAsia="宋体" w:cs="宋体"/>
          <w:i w:val="0"/>
          <w:iCs w:val="0"/>
          <w:caps w:val="0"/>
          <w:color w:val="000000"/>
          <w:spacing w:val="0"/>
          <w:kern w:val="2"/>
          <w:sz w:val="28"/>
          <w:szCs w:val="28"/>
          <w:shd w:val="clear" w:fill="FFFFFF"/>
          <w:lang w:val="en-US" w:eastAsia="zh-CN" w:bidi="ar-SA"/>
        </w:rPr>
        <w:t>联系方式：13476722328</w:t>
      </w:r>
    </w:p>
    <w:p w14:paraId="64710AE8">
      <w:pPr>
        <w:pStyle w:val="17"/>
        <w:outlineLvl w:val="2"/>
        <w:rPr>
          <w:rFonts w:hint="eastAsia" w:ascii="宋体" w:hAnsi="宋体" w:eastAsia="宋体" w:cs="宋体"/>
          <w:i w:val="0"/>
          <w:iCs w:val="0"/>
          <w:caps w:val="0"/>
          <w:color w:val="000000"/>
          <w:spacing w:val="0"/>
          <w:kern w:val="2"/>
          <w:sz w:val="28"/>
          <w:szCs w:val="28"/>
          <w:shd w:val="clear" w:fill="FFFFFF"/>
          <w:lang w:val="en-US" w:eastAsia="zh-CN" w:bidi="ar-SA"/>
        </w:rPr>
      </w:pPr>
      <w:r>
        <w:rPr>
          <w:rFonts w:hint="eastAsia" w:cs="宋体"/>
          <w:i w:val="0"/>
          <w:iCs w:val="0"/>
          <w:caps w:val="0"/>
          <w:color w:val="000000"/>
          <w:spacing w:val="0"/>
          <w:kern w:val="2"/>
          <w:sz w:val="28"/>
          <w:szCs w:val="28"/>
          <w:shd w:val="clear" w:fill="FFFFFF"/>
          <w:lang w:val="en-US" w:eastAsia="zh-CN" w:bidi="ar-SA"/>
        </w:rPr>
        <w:t>2.</w:t>
      </w:r>
      <w:r>
        <w:rPr>
          <w:rFonts w:hint="eastAsia" w:ascii="宋体" w:hAnsi="宋体" w:eastAsia="宋体" w:cs="宋体"/>
          <w:i w:val="0"/>
          <w:iCs w:val="0"/>
          <w:caps w:val="0"/>
          <w:color w:val="000000"/>
          <w:spacing w:val="0"/>
          <w:kern w:val="2"/>
          <w:sz w:val="28"/>
          <w:szCs w:val="28"/>
          <w:shd w:val="clear" w:fill="FFFFFF"/>
          <w:lang w:val="en-US" w:eastAsia="zh-CN" w:bidi="ar-SA"/>
        </w:rPr>
        <w:t>采购代理机构信息</w:t>
      </w:r>
    </w:p>
    <w:p w14:paraId="5C853EA6">
      <w:pPr>
        <w:pStyle w:val="17"/>
        <w:rPr>
          <w:rFonts w:hint="eastAsia" w:ascii="宋体" w:hAnsi="宋体" w:eastAsia="宋体" w:cs="宋体"/>
          <w:i w:val="0"/>
          <w:iCs w:val="0"/>
          <w:caps w:val="0"/>
          <w:color w:val="000000"/>
          <w:spacing w:val="0"/>
          <w:kern w:val="2"/>
          <w:sz w:val="28"/>
          <w:szCs w:val="28"/>
          <w:shd w:val="clear" w:fill="FFFFFF"/>
          <w:lang w:val="en-US" w:eastAsia="zh-CN" w:bidi="ar-SA"/>
        </w:rPr>
      </w:pPr>
      <w:r>
        <w:rPr>
          <w:rFonts w:hint="eastAsia" w:ascii="宋体" w:hAnsi="宋体" w:eastAsia="宋体" w:cs="宋体"/>
          <w:i w:val="0"/>
          <w:iCs w:val="0"/>
          <w:caps w:val="0"/>
          <w:color w:val="000000"/>
          <w:spacing w:val="0"/>
          <w:kern w:val="2"/>
          <w:sz w:val="28"/>
          <w:szCs w:val="28"/>
          <w:shd w:val="clear" w:fill="FFFFFF"/>
          <w:lang w:val="en-US" w:eastAsia="zh-CN" w:bidi="ar-SA"/>
        </w:rPr>
        <w:t>名称： 湖北先河工程咨询有限公司</w:t>
      </w:r>
    </w:p>
    <w:p w14:paraId="13BC6C44">
      <w:pPr>
        <w:pStyle w:val="17"/>
        <w:rPr>
          <w:rFonts w:hint="eastAsia" w:ascii="宋体" w:hAnsi="宋体" w:eastAsia="宋体" w:cs="宋体"/>
          <w:i w:val="0"/>
          <w:iCs w:val="0"/>
          <w:caps w:val="0"/>
          <w:color w:val="000000"/>
          <w:spacing w:val="0"/>
          <w:kern w:val="2"/>
          <w:sz w:val="28"/>
          <w:szCs w:val="28"/>
          <w:shd w:val="clear" w:fill="FFFFFF"/>
          <w:lang w:val="en-US" w:eastAsia="zh-CN" w:bidi="ar-SA"/>
        </w:rPr>
      </w:pPr>
      <w:r>
        <w:rPr>
          <w:rFonts w:hint="eastAsia" w:ascii="宋体" w:hAnsi="宋体" w:eastAsia="宋体" w:cs="宋体"/>
          <w:i w:val="0"/>
          <w:iCs w:val="0"/>
          <w:caps w:val="0"/>
          <w:color w:val="000000"/>
          <w:spacing w:val="0"/>
          <w:kern w:val="2"/>
          <w:sz w:val="28"/>
          <w:szCs w:val="28"/>
          <w:shd w:val="clear" w:fill="FFFFFF"/>
          <w:lang w:val="en-US" w:eastAsia="zh-CN" w:bidi="ar-SA"/>
        </w:rPr>
        <w:t xml:space="preserve">地址： 英山县夜市一街俊怡酒店三楼 </w:t>
      </w:r>
    </w:p>
    <w:p w14:paraId="4BB15260">
      <w:pPr>
        <w:pStyle w:val="17"/>
        <w:rPr>
          <w:rFonts w:hint="default" w:ascii="宋体" w:hAnsi="宋体" w:eastAsia="宋体" w:cs="宋体"/>
          <w:i w:val="0"/>
          <w:iCs w:val="0"/>
          <w:caps w:val="0"/>
          <w:color w:val="000000"/>
          <w:spacing w:val="0"/>
          <w:kern w:val="2"/>
          <w:sz w:val="28"/>
          <w:szCs w:val="28"/>
          <w:shd w:val="clear" w:fill="FFFFFF"/>
          <w:lang w:val="en-US" w:eastAsia="zh-CN" w:bidi="ar-SA"/>
        </w:rPr>
      </w:pPr>
      <w:r>
        <w:rPr>
          <w:rFonts w:hint="eastAsia" w:cs="宋体"/>
          <w:i w:val="0"/>
          <w:iCs w:val="0"/>
          <w:caps w:val="0"/>
          <w:color w:val="000000"/>
          <w:spacing w:val="0"/>
          <w:kern w:val="2"/>
          <w:sz w:val="28"/>
          <w:szCs w:val="28"/>
          <w:shd w:val="clear" w:fill="FFFFFF"/>
          <w:lang w:val="en-US" w:eastAsia="zh-CN" w:bidi="ar-SA"/>
        </w:rPr>
        <w:t>联系人：柯娜</w:t>
      </w:r>
    </w:p>
    <w:p w14:paraId="12B4B4C2">
      <w:pPr>
        <w:pStyle w:val="17"/>
        <w:rPr>
          <w:rFonts w:hint="eastAsia" w:ascii="宋体" w:hAnsi="宋体" w:eastAsia="宋体" w:cs="Times New Roman"/>
          <w:iCs/>
          <w:color w:val="auto"/>
          <w:kern w:val="2"/>
          <w:sz w:val="24"/>
          <w:szCs w:val="22"/>
          <w:highlight w:val="yellow"/>
          <w:shd w:val="clear" w:color="auto" w:fill="FFFFFF"/>
          <w:lang w:val="en-US" w:eastAsia="zh-CN" w:bidi="ar-SA"/>
        </w:rPr>
      </w:pPr>
      <w:r>
        <w:rPr>
          <w:rFonts w:hint="eastAsia" w:ascii="宋体" w:hAnsi="宋体" w:eastAsia="宋体" w:cs="宋体"/>
          <w:i w:val="0"/>
          <w:iCs w:val="0"/>
          <w:caps w:val="0"/>
          <w:color w:val="000000"/>
          <w:spacing w:val="0"/>
          <w:kern w:val="2"/>
          <w:sz w:val="28"/>
          <w:szCs w:val="28"/>
          <w:shd w:val="clear" w:fill="FFFFFF"/>
          <w:lang w:val="en-US" w:eastAsia="zh-CN" w:bidi="ar-SA"/>
        </w:rPr>
        <w:t xml:space="preserve">联系方式： 0713-7026386  13687133520 </w:t>
      </w:r>
    </w:p>
    <w:p w14:paraId="4A1ACDD4">
      <w:pPr>
        <w:pStyle w:val="2"/>
        <w:rPr>
          <w:rFonts w:hint="default" w:ascii="宋体" w:hAnsi="宋体" w:eastAsia="宋体" w:cs="宋体"/>
          <w:i w:val="0"/>
          <w:iCs w:val="0"/>
          <w:caps w:val="0"/>
          <w:color w:val="000000"/>
          <w:spacing w:val="0"/>
          <w:kern w:val="2"/>
          <w:sz w:val="28"/>
          <w:szCs w:val="28"/>
          <w:shd w:val="clear" w:fill="FFFFFF"/>
          <w:lang w:val="en-US" w:eastAsia="zh-CN" w:bidi="ar-SA"/>
        </w:rPr>
      </w:pPr>
      <w:r>
        <w:rPr>
          <w:rFonts w:hint="eastAsia" w:ascii="宋体" w:hAnsi="宋体" w:eastAsia="宋体" w:cs="宋体"/>
          <w:i w:val="0"/>
          <w:iCs w:val="0"/>
          <w:caps w:val="0"/>
          <w:color w:val="000000"/>
          <w:spacing w:val="0"/>
          <w:kern w:val="2"/>
          <w:sz w:val="28"/>
          <w:szCs w:val="28"/>
          <w:shd w:val="clear" w:fill="FFFFFF"/>
          <w:lang w:val="en-US" w:eastAsia="zh-CN" w:bidi="ar-SA"/>
        </w:rPr>
        <w:t>附件</w:t>
      </w:r>
    </w:p>
    <w:p w14:paraId="10E7AE9B">
      <w:pPr>
        <w:jc w:val="center"/>
        <w:outlineLvl w:val="9"/>
        <w:rPr>
          <w:rFonts w:ascii="黑体" w:hAnsi="黑体" w:eastAsia="黑体"/>
          <w:bCs/>
          <w:szCs w:val="32"/>
        </w:rPr>
      </w:pPr>
      <w:r>
        <w:rPr>
          <w:rFonts w:hint="eastAsia" w:ascii="宋体" w:hAnsi="宋体" w:eastAsia="黑体" w:cs="Times New Roman"/>
          <w:b/>
          <w:bCs/>
          <w:kern w:val="44"/>
          <w:sz w:val="44"/>
          <w:szCs w:val="44"/>
          <w:lang w:val="en-US" w:eastAsia="zh-CN" w:bidi="ar-SA"/>
        </w:rPr>
        <w:t>第一章</w:t>
      </w:r>
      <w:r>
        <w:rPr>
          <w:rFonts w:hint="eastAsia" w:eastAsia="黑体" w:cs="Times New Roman"/>
          <w:b/>
          <w:bCs/>
          <w:kern w:val="44"/>
          <w:sz w:val="44"/>
          <w:szCs w:val="44"/>
          <w:lang w:val="en-US" w:eastAsia="zh-CN" w:bidi="ar-SA"/>
        </w:rPr>
        <w:t xml:space="preserve"> </w:t>
      </w:r>
      <w:r>
        <w:rPr>
          <w:rFonts w:hint="eastAsia" w:ascii="宋体" w:hAnsi="宋体" w:eastAsia="黑体" w:cs="Times New Roman"/>
          <w:b/>
          <w:bCs/>
          <w:kern w:val="44"/>
          <w:sz w:val="44"/>
          <w:szCs w:val="44"/>
          <w:lang w:val="en-US" w:eastAsia="zh-CN" w:bidi="ar-SA"/>
        </w:rPr>
        <w:t>投标人资格要求</w:t>
      </w:r>
    </w:p>
    <w:p w14:paraId="5700348B">
      <w:pPr>
        <w:outlineLvl w:val="2"/>
        <w:rPr>
          <w:color w:val="auto"/>
          <w:highlight w:val="none"/>
        </w:rPr>
      </w:pPr>
      <w:bookmarkStart w:id="52" w:name="_Toc5536"/>
      <w:r>
        <w:rPr>
          <w:rFonts w:hint="eastAsia"/>
          <w:color w:val="auto"/>
          <w:highlight w:val="none"/>
        </w:rPr>
        <w:t>1.满足《中华人民共和国政府采购法》第二十二条规定，即：</w:t>
      </w:r>
      <w:bookmarkEnd w:id="52"/>
    </w:p>
    <w:p w14:paraId="23653214">
      <w:pPr>
        <w:pStyle w:val="18"/>
        <w:numPr>
          <w:ilvl w:val="0"/>
          <w:numId w:val="3"/>
        </w:numPr>
        <w:rPr>
          <w:color w:val="auto"/>
          <w:highlight w:val="none"/>
        </w:rPr>
      </w:pPr>
      <w:r>
        <w:rPr>
          <w:rFonts w:hint="eastAsia"/>
          <w:color w:val="auto"/>
          <w:highlight w:val="none"/>
        </w:rPr>
        <w:t>具有独立承担民事责任的能力；</w:t>
      </w:r>
    </w:p>
    <w:p w14:paraId="1519A729">
      <w:pPr>
        <w:pStyle w:val="18"/>
        <w:numPr>
          <w:ilvl w:val="0"/>
          <w:numId w:val="3"/>
        </w:numPr>
        <w:rPr>
          <w:color w:val="auto"/>
          <w:highlight w:val="none"/>
        </w:rPr>
      </w:pPr>
      <w:r>
        <w:rPr>
          <w:rFonts w:hint="eastAsia"/>
          <w:color w:val="auto"/>
          <w:highlight w:val="none"/>
        </w:rPr>
        <w:t>具有良好的商业信誉和健全的财务会计制度；</w:t>
      </w:r>
    </w:p>
    <w:p w14:paraId="255AC4BE">
      <w:pPr>
        <w:pStyle w:val="18"/>
        <w:numPr>
          <w:ilvl w:val="0"/>
          <w:numId w:val="3"/>
        </w:numPr>
        <w:rPr>
          <w:color w:val="auto"/>
          <w:highlight w:val="none"/>
        </w:rPr>
      </w:pPr>
      <w:r>
        <w:rPr>
          <w:rFonts w:hint="eastAsia"/>
          <w:color w:val="auto"/>
          <w:highlight w:val="none"/>
        </w:rPr>
        <w:t>具有履行合同所必需的设备和专业技术能力；</w:t>
      </w:r>
    </w:p>
    <w:p w14:paraId="11A4B974">
      <w:pPr>
        <w:pStyle w:val="18"/>
        <w:numPr>
          <w:ilvl w:val="0"/>
          <w:numId w:val="3"/>
        </w:numPr>
        <w:rPr>
          <w:color w:val="auto"/>
          <w:highlight w:val="none"/>
        </w:rPr>
      </w:pPr>
      <w:r>
        <w:rPr>
          <w:rFonts w:hint="eastAsia"/>
          <w:color w:val="auto"/>
          <w:highlight w:val="none"/>
        </w:rPr>
        <w:t>有依法缴纳税收和社会保障资金的良好记录；</w:t>
      </w:r>
    </w:p>
    <w:p w14:paraId="7D82EA57">
      <w:pPr>
        <w:pStyle w:val="18"/>
        <w:numPr>
          <w:ilvl w:val="0"/>
          <w:numId w:val="3"/>
        </w:numPr>
        <w:rPr>
          <w:color w:val="auto"/>
          <w:highlight w:val="none"/>
        </w:rPr>
      </w:pPr>
      <w:r>
        <w:rPr>
          <w:rFonts w:hint="eastAsia"/>
          <w:color w:val="auto"/>
          <w:highlight w:val="none"/>
        </w:rPr>
        <w:t>参加政府采购活动前三年内，在经营活动中没有重大违法记录；</w:t>
      </w:r>
    </w:p>
    <w:p w14:paraId="34CA1414">
      <w:pPr>
        <w:pStyle w:val="18"/>
        <w:numPr>
          <w:ilvl w:val="0"/>
          <w:numId w:val="3"/>
        </w:numPr>
        <w:outlineLvl w:val="3"/>
        <w:rPr>
          <w:color w:val="auto"/>
          <w:highlight w:val="none"/>
        </w:rPr>
      </w:pPr>
      <w:r>
        <w:rPr>
          <w:rFonts w:hint="eastAsia"/>
          <w:color w:val="auto"/>
          <w:highlight w:val="none"/>
        </w:rPr>
        <w:t>法律、行政法规规定的其他条件。</w:t>
      </w:r>
    </w:p>
    <w:p w14:paraId="0A1FB6C0">
      <w:pPr>
        <w:rPr>
          <w:rFonts w:hint="eastAsia"/>
          <w:color w:val="auto"/>
          <w:highlight w:val="none"/>
        </w:rPr>
      </w:pPr>
      <w:r>
        <w:rPr>
          <w:rFonts w:hint="eastAsia"/>
          <w:color w:val="auto"/>
          <w:highlight w:val="none"/>
        </w:rPr>
        <w:t>2.单位负责人为同一人或者存在直接控股、管理关系的不同供应商，不得参加本项目同一合同项下的政府采购活动。</w:t>
      </w:r>
    </w:p>
    <w:p w14:paraId="3B0FAD3B">
      <w:pPr>
        <w:pStyle w:val="18"/>
        <w:numPr>
          <w:ilvl w:val="0"/>
          <w:numId w:val="0"/>
        </w:numPr>
        <w:ind w:leftChars="0"/>
        <w:outlineLvl w:val="3"/>
        <w:rPr>
          <w:color w:val="auto"/>
          <w:highlight w:val="none"/>
        </w:rPr>
      </w:pPr>
      <w:r>
        <w:rPr>
          <w:rFonts w:hint="eastAsia"/>
          <w:color w:val="auto"/>
          <w:highlight w:val="none"/>
          <w:lang w:val="en-US" w:eastAsia="zh-CN"/>
        </w:rPr>
        <w:t>3.</w:t>
      </w:r>
      <w:r>
        <w:rPr>
          <w:rFonts w:hint="eastAsia"/>
          <w:color w:val="auto"/>
          <w:highlight w:val="none"/>
        </w:rPr>
        <w:t>为本采购项目提供整体设计、规范编制或者项目管理、监理、检测等服务的，不得再参加本项目的其他招标采购活动。</w:t>
      </w:r>
    </w:p>
    <w:p w14:paraId="70EA7265">
      <w:pPr>
        <w:rPr>
          <w:color w:val="auto"/>
          <w:highlight w:val="none"/>
        </w:rPr>
      </w:pPr>
      <w:r>
        <w:rPr>
          <w:rFonts w:hint="eastAsia"/>
          <w:color w:val="auto"/>
          <w:highlight w:val="none"/>
          <w:lang w:val="en-US" w:eastAsia="zh-CN"/>
        </w:rPr>
        <w:t>4</w:t>
      </w:r>
      <w:r>
        <w:rPr>
          <w:color w:val="auto"/>
          <w:highlight w:val="none"/>
        </w:rPr>
        <w:t>.</w:t>
      </w:r>
      <w:r>
        <w:rPr>
          <w:rFonts w:hint="eastAsia"/>
          <w:color w:val="auto"/>
          <w:highlight w:val="none"/>
        </w:rPr>
        <w:t>未被列入失信被执行人、“重大税收违法失信主体”，未被列入政府采购严重违法失信行为记录名单。</w:t>
      </w:r>
    </w:p>
    <w:p w14:paraId="2B962A1C">
      <w:pPr>
        <w:rPr>
          <w:rFonts w:hint="eastAsia"/>
          <w:color w:val="auto"/>
          <w:highlight w:val="none"/>
        </w:rPr>
      </w:pPr>
      <w:bookmarkStart w:id="53" w:name="_Hlk89807755"/>
      <w:r>
        <w:rPr>
          <w:rFonts w:hint="eastAsia"/>
          <w:color w:val="auto"/>
          <w:highlight w:val="none"/>
          <w:lang w:val="en-US" w:eastAsia="zh-CN"/>
        </w:rPr>
        <w:t>5</w:t>
      </w:r>
      <w:r>
        <w:rPr>
          <w:rFonts w:hint="eastAsia"/>
          <w:color w:val="auto"/>
          <w:highlight w:val="none"/>
        </w:rPr>
        <w:t>.落实政府采购政策需满足的资格要求：本项目为专门面向中小微企业采购</w:t>
      </w:r>
    </w:p>
    <w:p w14:paraId="1525DA35">
      <w:pPr>
        <w:rPr>
          <w:rFonts w:hint="eastAsia"/>
          <w:color w:val="auto"/>
          <w:highlight w:val="none"/>
        </w:rPr>
      </w:pPr>
      <w:r>
        <w:rPr>
          <w:rFonts w:hint="eastAsia"/>
          <w:color w:val="auto"/>
          <w:highlight w:val="none"/>
        </w:rPr>
        <w:t>的项目，供应商须出具《中小企业声明函》（格式见《政府采购促进中小企业</w:t>
      </w:r>
    </w:p>
    <w:p w14:paraId="250A4EA5">
      <w:pPr>
        <w:rPr>
          <w:rFonts w:hint="eastAsia"/>
          <w:color w:val="auto"/>
          <w:highlight w:val="none"/>
        </w:rPr>
      </w:pPr>
      <w:r>
        <w:rPr>
          <w:rFonts w:hint="eastAsia"/>
          <w:color w:val="auto"/>
          <w:highlight w:val="none"/>
        </w:rPr>
        <w:t>发展管理办法》（财库[2020]46号）），并对声明的真实性负责。本项目中小</w:t>
      </w:r>
    </w:p>
    <w:p w14:paraId="4C3516C7">
      <w:pPr>
        <w:rPr>
          <w:color w:val="auto"/>
          <w:highlight w:val="none"/>
        </w:rPr>
      </w:pPr>
      <w:r>
        <w:rPr>
          <w:rFonts w:hint="eastAsia"/>
          <w:color w:val="auto"/>
          <w:highlight w:val="none"/>
        </w:rPr>
        <w:t>企业划分标准所属行业：</w:t>
      </w:r>
      <w:r>
        <w:rPr>
          <w:rFonts w:hint="eastAsia"/>
          <w:color w:val="auto"/>
          <w:highlight w:val="none"/>
          <w:lang w:val="en-US" w:eastAsia="zh-CN"/>
        </w:rPr>
        <w:t>林</w:t>
      </w:r>
      <w:r>
        <w:rPr>
          <w:rFonts w:hint="eastAsia"/>
          <w:color w:val="auto"/>
          <w:highlight w:val="none"/>
        </w:rPr>
        <w:t>业。</w:t>
      </w:r>
    </w:p>
    <w:p w14:paraId="3233868F">
      <w:pPr>
        <w:outlineLvl w:val="2"/>
        <w:rPr>
          <w:rFonts w:hint="eastAsia" w:eastAsia="宋体"/>
          <w:color w:val="auto"/>
          <w:highlight w:val="none"/>
          <w:lang w:eastAsia="zh-CN"/>
        </w:rPr>
      </w:pPr>
      <w:bookmarkStart w:id="54" w:name="_Toc16952"/>
      <w:r>
        <w:rPr>
          <w:rFonts w:hint="eastAsia"/>
          <w:color w:val="auto"/>
          <w:highlight w:val="none"/>
          <w:lang w:val="en-US" w:eastAsia="zh-CN"/>
        </w:rPr>
        <w:t>6</w:t>
      </w:r>
      <w:r>
        <w:rPr>
          <w:rFonts w:hint="eastAsia"/>
          <w:color w:val="auto"/>
          <w:highlight w:val="none"/>
        </w:rPr>
        <w:t>.投标人特定资格要求：</w:t>
      </w:r>
      <w:bookmarkEnd w:id="54"/>
      <w:r>
        <w:rPr>
          <w:rFonts w:hint="eastAsia"/>
          <w:color w:val="auto"/>
          <w:highlight w:val="none"/>
        </w:rPr>
        <w:t>供应商需具备有效的工商营业执照</w:t>
      </w:r>
      <w:r>
        <w:rPr>
          <w:rFonts w:hint="eastAsia"/>
          <w:color w:val="auto"/>
          <w:highlight w:val="none"/>
          <w:lang w:eastAsia="zh-CN"/>
        </w:rPr>
        <w:t>。</w:t>
      </w:r>
    </w:p>
    <w:bookmarkEnd w:id="53"/>
    <w:p w14:paraId="31372C7C">
      <w:pPr>
        <w:pStyle w:val="2"/>
        <w:rPr>
          <w:rFonts w:hint="eastAsia" w:ascii="宋体" w:hAnsi="宋体" w:eastAsia="宋体" w:cs="Times New Roman"/>
          <w:iCs/>
          <w:color w:val="auto"/>
          <w:kern w:val="2"/>
          <w:sz w:val="24"/>
          <w:szCs w:val="22"/>
          <w:highlight w:val="yellow"/>
          <w:shd w:val="clear" w:color="auto" w:fill="FFFFFF"/>
          <w:lang w:val="en-US" w:eastAsia="zh-CN" w:bidi="ar-SA"/>
        </w:rPr>
      </w:pPr>
    </w:p>
    <w:p w14:paraId="4414E5C2">
      <w:pPr>
        <w:pStyle w:val="17"/>
        <w:rPr>
          <w:snapToGrid w:val="0"/>
        </w:rPr>
      </w:pPr>
    </w:p>
    <w:p w14:paraId="498E5C16">
      <w:pPr>
        <w:pStyle w:val="17"/>
        <w:sectPr>
          <w:headerReference r:id="rId5" w:type="default"/>
          <w:footerReference r:id="rId6" w:type="default"/>
          <w:pgSz w:w="11906" w:h="16838"/>
          <w:pgMar w:top="1440" w:right="1800" w:bottom="1440" w:left="1800" w:header="851" w:footer="992" w:gutter="0"/>
          <w:pgNumType w:fmt="decimal"/>
          <w:cols w:space="720" w:num="1"/>
          <w:docGrid w:type="lines" w:linePitch="312" w:charSpace="0"/>
        </w:sectPr>
      </w:pPr>
    </w:p>
    <w:p w14:paraId="7E938C3E">
      <w:pPr>
        <w:pStyle w:val="3"/>
        <w:numPr>
          <w:ilvl w:val="0"/>
          <w:numId w:val="4"/>
        </w:numPr>
        <w:ind w:left="420" w:leftChars="0" w:hanging="420" w:firstLineChars="0"/>
        <w:rPr>
          <w:rFonts w:hint="eastAsia"/>
        </w:rPr>
      </w:pPr>
      <w:bookmarkStart w:id="55" w:name="_Toc25750"/>
      <w:bookmarkStart w:id="56" w:name="_Toc13922"/>
      <w:bookmarkStart w:id="57" w:name="_Toc15752"/>
      <w:bookmarkStart w:id="58" w:name="_Toc25103"/>
      <w:bookmarkStart w:id="59" w:name="_Toc16799"/>
      <w:bookmarkStart w:id="60" w:name="_Toc23558"/>
      <w:bookmarkStart w:id="61" w:name="_Toc14950"/>
      <w:bookmarkStart w:id="62" w:name="_Toc5676"/>
      <w:bookmarkStart w:id="63" w:name="_Toc155185888"/>
      <w:bookmarkStart w:id="64" w:name="_Toc30394"/>
      <w:bookmarkStart w:id="65" w:name="_Toc7808"/>
      <w:bookmarkStart w:id="66" w:name="_Toc15981"/>
      <w:bookmarkStart w:id="67" w:name="_Toc28055"/>
      <w:bookmarkStart w:id="68" w:name="_Toc27834"/>
      <w:bookmarkStart w:id="69" w:name="_Toc163492885"/>
      <w:r>
        <w:rPr>
          <w:rFonts w:hint="eastAsia"/>
        </w:rPr>
        <w:t>采购需求</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Start w:id="70" w:name="_Toc163492892"/>
      <w:bookmarkStart w:id="71" w:name="_Toc24073"/>
      <w:bookmarkStart w:id="72" w:name="_Toc19494"/>
      <w:bookmarkStart w:id="73" w:name="_Toc26414"/>
      <w:bookmarkStart w:id="74" w:name="_Toc28045"/>
      <w:bookmarkStart w:id="75" w:name="_Toc13595"/>
      <w:bookmarkStart w:id="76" w:name="_Toc29422"/>
      <w:bookmarkStart w:id="77" w:name="_Toc27718"/>
      <w:bookmarkStart w:id="78" w:name="_Toc11685"/>
      <w:bookmarkStart w:id="79" w:name="_Toc1077"/>
      <w:bookmarkStart w:id="80" w:name="_Toc7952"/>
      <w:bookmarkStart w:id="81" w:name="_Toc155185895"/>
      <w:bookmarkStart w:id="82" w:name="_Toc23595"/>
      <w:bookmarkStart w:id="83" w:name="_Toc20364"/>
      <w:bookmarkStart w:id="84" w:name="_Toc13530"/>
    </w:p>
    <w:p w14:paraId="1E8591FB">
      <w:pPr>
        <w:pStyle w:val="4"/>
        <w:numPr>
          <w:ilvl w:val="0"/>
          <w:numId w:val="0"/>
        </w:numPr>
        <w:rPr>
          <w:color w:val="auto"/>
          <w:highlight w:val="none"/>
        </w:rPr>
      </w:pPr>
      <w:bookmarkStart w:id="85" w:name="_Toc18325"/>
      <w:bookmarkStart w:id="86" w:name="_Toc27367"/>
      <w:bookmarkStart w:id="87" w:name="_Toc155185889"/>
      <w:bookmarkStart w:id="88" w:name="_Toc1946"/>
      <w:bookmarkStart w:id="89" w:name="_Toc20266"/>
      <w:bookmarkStart w:id="90" w:name="_Toc3446"/>
      <w:bookmarkStart w:id="91" w:name="_Toc10790"/>
      <w:bookmarkStart w:id="92" w:name="_Toc163492886"/>
      <w:bookmarkStart w:id="93" w:name="_Toc140132812"/>
      <w:r>
        <w:rPr>
          <w:rFonts w:hint="eastAsia" w:ascii="等线 Light" w:hAnsi="等线 Light" w:eastAsia="宋体" w:cs="Times New Roman"/>
          <w:b/>
          <w:bCs/>
          <w:color w:val="auto"/>
          <w:kern w:val="2"/>
          <w:sz w:val="32"/>
          <w:szCs w:val="32"/>
          <w:highlight w:val="none"/>
          <w:lang w:val="en-US" w:eastAsia="zh-CN" w:bidi="ar-SA"/>
        </w:rPr>
        <w:t>一、</w:t>
      </w:r>
      <w:r>
        <w:rPr>
          <w:rFonts w:hint="eastAsia"/>
          <w:color w:val="auto"/>
          <w:highlight w:val="none"/>
        </w:rPr>
        <w:t>采购</w:t>
      </w:r>
      <w:bookmarkEnd w:id="85"/>
      <w:bookmarkEnd w:id="86"/>
      <w:bookmarkEnd w:id="87"/>
      <w:bookmarkEnd w:id="88"/>
      <w:bookmarkEnd w:id="89"/>
      <w:bookmarkEnd w:id="90"/>
      <w:bookmarkEnd w:id="91"/>
      <w:bookmarkEnd w:id="92"/>
      <w:bookmarkEnd w:id="93"/>
      <w:r>
        <w:rPr>
          <w:rFonts w:hint="eastAsia"/>
          <w:color w:val="auto"/>
          <w:highlight w:val="none"/>
          <w:lang w:val="en-US" w:eastAsia="zh-CN"/>
        </w:rPr>
        <w:t>内容：</w:t>
      </w:r>
    </w:p>
    <w:p w14:paraId="07CE5330">
      <w:pPr>
        <w:pStyle w:val="7"/>
        <w:spacing w:line="360" w:lineRule="auto"/>
        <w:ind w:firstLine="480" w:firstLineChars="200"/>
        <w:rPr>
          <w:rFonts w:hint="eastAsia"/>
          <w:color w:val="auto"/>
          <w:highlight w:val="none"/>
          <w:lang w:val="en-US" w:eastAsia="zh-CN"/>
        </w:rPr>
      </w:pPr>
      <w:r>
        <w:rPr>
          <w:rFonts w:hint="eastAsia" w:ascii="宋体" w:hAnsi="宋体" w:eastAsia="宋体" w:cs="Times New Roman"/>
          <w:color w:val="auto"/>
          <w:kern w:val="2"/>
          <w:sz w:val="24"/>
          <w:szCs w:val="22"/>
          <w:highlight w:val="none"/>
          <w:lang w:val="en-US" w:eastAsia="zh-CN" w:bidi="ar-SA"/>
        </w:rPr>
        <w:t>本项</w:t>
      </w:r>
      <w:r>
        <w:rPr>
          <w:rFonts w:hint="eastAsia" w:cs="Times New Roman"/>
          <w:color w:val="auto"/>
          <w:kern w:val="2"/>
          <w:sz w:val="24"/>
          <w:szCs w:val="22"/>
          <w:highlight w:val="none"/>
          <w:lang w:val="en-US" w:eastAsia="zh-CN" w:bidi="ar-SA"/>
        </w:rPr>
        <w:t>目</w:t>
      </w:r>
      <w:r>
        <w:rPr>
          <w:rFonts w:hint="eastAsia" w:ascii="宋体" w:hAnsi="宋体" w:eastAsia="宋体" w:cs="Times New Roman"/>
          <w:color w:val="auto"/>
          <w:kern w:val="2"/>
          <w:sz w:val="24"/>
          <w:szCs w:val="22"/>
          <w:highlight w:val="none"/>
          <w:lang w:val="en-US" w:eastAsia="zh-CN" w:bidi="ar-SA"/>
        </w:rPr>
        <w:t>森林可持续经营项目实施面积22900亩，建设内容主要包括目标树经营、林分抚育改造、清藤蔓（森林抚育）、林分抚育改造、补植补播等经营措施。</w:t>
      </w:r>
    </w:p>
    <w:p w14:paraId="7D7F81DC">
      <w:pPr>
        <w:pStyle w:val="4"/>
        <w:numPr>
          <w:ilvl w:val="0"/>
          <w:numId w:val="0"/>
        </w:numPr>
        <w:ind w:left="420" w:leftChars="0" w:hanging="420" w:firstLineChars="0"/>
        <w:rPr>
          <w:rFonts w:hint="eastAsia"/>
          <w:color w:val="auto"/>
          <w:highlight w:val="none"/>
          <w:lang w:val="en-US" w:eastAsia="zh-CN"/>
        </w:rPr>
      </w:pPr>
      <w:bookmarkStart w:id="94" w:name="_Toc163492887"/>
      <w:bookmarkStart w:id="95" w:name="_Toc6008"/>
      <w:bookmarkStart w:id="96" w:name="_Toc140132813"/>
      <w:bookmarkStart w:id="97" w:name="_Toc16019"/>
      <w:bookmarkStart w:id="98" w:name="_Toc26463"/>
      <w:bookmarkStart w:id="99" w:name="_Toc2208"/>
      <w:bookmarkStart w:id="100" w:name="_Toc155185890"/>
      <w:bookmarkStart w:id="101" w:name="_Toc13410"/>
      <w:bookmarkStart w:id="102" w:name="_Toc16343"/>
      <w:r>
        <w:rPr>
          <w:rFonts w:hint="eastAsia" w:ascii="等线 Light" w:hAnsi="等线 Light" w:eastAsia="宋体" w:cs="Times New Roman"/>
          <w:b/>
          <w:bCs/>
          <w:color w:val="auto"/>
          <w:kern w:val="2"/>
          <w:sz w:val="32"/>
          <w:szCs w:val="32"/>
          <w:lang w:val="en-US" w:eastAsia="zh-CN" w:bidi="ar-SA"/>
        </w:rPr>
        <w:t>二、</w:t>
      </w:r>
      <w:r>
        <w:rPr>
          <w:rFonts w:hint="eastAsia"/>
          <w:color w:val="auto"/>
          <w:highlight w:val="none"/>
        </w:rPr>
        <w:t>项目</w:t>
      </w:r>
      <w:bookmarkEnd w:id="94"/>
      <w:bookmarkEnd w:id="95"/>
      <w:bookmarkEnd w:id="96"/>
      <w:bookmarkEnd w:id="97"/>
      <w:bookmarkEnd w:id="98"/>
      <w:bookmarkEnd w:id="99"/>
      <w:bookmarkEnd w:id="100"/>
      <w:bookmarkEnd w:id="101"/>
      <w:bookmarkEnd w:id="102"/>
      <w:r>
        <w:rPr>
          <w:rFonts w:hint="eastAsia"/>
          <w:color w:val="auto"/>
          <w:highlight w:val="none"/>
          <w:lang w:val="en-US" w:eastAsia="zh-CN"/>
        </w:rPr>
        <w:t>建设目标</w:t>
      </w:r>
    </w:p>
    <w:p w14:paraId="4205689A">
      <w:pPr>
        <w:ind w:firstLine="480" w:firstLineChars="200"/>
        <w:rPr>
          <w:rFonts w:hint="eastAsia"/>
          <w:lang w:val="en-US" w:eastAsia="zh-CN"/>
        </w:rPr>
      </w:pPr>
      <w:r>
        <w:rPr>
          <w:rFonts w:hint="eastAsia"/>
          <w:lang w:val="en-US" w:eastAsia="zh-CN"/>
        </w:rPr>
        <w:t>通过森林可持续经营项目建设，实施目标树经营和林分改造经营，实行针阔混交异林龄复层林结构，改善、优化、稳定林分结构，提高林地生产力和林木生长量，促进森林林木生长发育，丰富生物多样性，维护森林健康，减少森林火灾的发生，提高森林游憩价值，充分发挥森林多功能性，协调生态、社会、经济效</w:t>
      </w:r>
    </w:p>
    <w:p w14:paraId="4A101455">
      <w:r>
        <w:rPr>
          <w:rFonts w:hint="eastAsia"/>
          <w:lang w:val="en-US" w:eastAsia="zh-CN"/>
        </w:rPr>
        <w:t>益，培育健康、稳定优质高效的森林生态系统。</w:t>
      </w:r>
    </w:p>
    <w:p w14:paraId="1D028489">
      <w:pPr>
        <w:pStyle w:val="4"/>
        <w:numPr>
          <w:ilvl w:val="0"/>
          <w:numId w:val="0"/>
        </w:numPr>
        <w:ind w:left="420" w:leftChars="0" w:hanging="420" w:firstLineChars="0"/>
        <w:rPr>
          <w:color w:val="auto"/>
          <w:highlight w:val="none"/>
        </w:rPr>
      </w:pPr>
      <w:bookmarkStart w:id="103" w:name="_Toc155185891"/>
      <w:bookmarkStart w:id="104" w:name="_Toc102116037"/>
      <w:bookmarkStart w:id="105" w:name="_Toc163492888"/>
      <w:bookmarkStart w:id="106" w:name="_Toc122685177"/>
      <w:bookmarkStart w:id="107" w:name="_Toc102116167"/>
      <w:bookmarkStart w:id="108" w:name="_Toc102119868"/>
      <w:bookmarkStart w:id="109" w:name="_Toc102114935"/>
      <w:bookmarkStart w:id="110" w:name="_Toc24037"/>
      <w:bookmarkStart w:id="111" w:name="_Toc117244484"/>
      <w:bookmarkStart w:id="112" w:name="_Toc5369"/>
      <w:bookmarkStart w:id="113" w:name="_Toc107561287"/>
      <w:bookmarkStart w:id="114" w:name="_Toc117244369"/>
      <w:bookmarkStart w:id="115" w:name="_Toc28893"/>
      <w:bookmarkStart w:id="116" w:name="_Toc511894510"/>
      <w:bookmarkStart w:id="117" w:name="_Toc102056233"/>
      <w:bookmarkStart w:id="118" w:name="_Toc388"/>
      <w:bookmarkStart w:id="119" w:name="_Toc24483"/>
      <w:bookmarkStart w:id="120" w:name="_Toc511889432"/>
      <w:bookmarkStart w:id="121" w:name="_Toc494561954"/>
      <w:bookmarkStart w:id="122" w:name="_Toc102057733"/>
      <w:bookmarkStart w:id="123" w:name="_Toc15825"/>
      <w:r>
        <w:rPr>
          <w:rFonts w:hint="eastAsia" w:ascii="等线 Light" w:hAnsi="等线 Light" w:eastAsia="宋体" w:cs="Times New Roman"/>
          <w:b/>
          <w:bCs/>
          <w:color w:val="auto"/>
          <w:kern w:val="2"/>
          <w:sz w:val="32"/>
          <w:szCs w:val="32"/>
          <w:highlight w:val="none"/>
          <w:lang w:val="en-US" w:eastAsia="zh-CN" w:bidi="ar-SA"/>
        </w:rPr>
        <w:t>三、</w:t>
      </w:r>
      <w:r>
        <w:rPr>
          <w:rFonts w:hint="eastAsia"/>
          <w:color w:val="auto"/>
          <w:highlight w:val="none"/>
        </w:rPr>
        <w:t>采购需求执行的相关标准、规范</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04A5549D">
      <w:pPr>
        <w:ind w:firstLine="480" w:firstLineChars="200"/>
        <w:rPr>
          <w:rFonts w:hint="eastAsia"/>
          <w:color w:val="auto"/>
          <w:highlight w:val="none"/>
        </w:rPr>
      </w:pPr>
      <w:r>
        <w:rPr>
          <w:rFonts w:hint="eastAsia"/>
          <w:color w:val="auto"/>
          <w:highlight w:val="none"/>
        </w:rPr>
        <w:t>符合国家和地方现行相关规范、规程、规定，满足采购人要求</w:t>
      </w:r>
      <w:r>
        <w:rPr>
          <w:rFonts w:hint="eastAsia"/>
          <w:color w:val="auto"/>
          <w:highlight w:val="none"/>
          <w:lang w:eastAsia="zh-CN"/>
        </w:rPr>
        <w:t>，</w:t>
      </w:r>
      <w:r>
        <w:rPr>
          <w:rFonts w:hint="eastAsia"/>
          <w:color w:val="auto"/>
          <w:highlight w:val="none"/>
          <w:lang w:val="en-US" w:eastAsia="zh-CN"/>
        </w:rPr>
        <w:t>满足“英山县2025年度中央财政森林可持续经营项目作业设计”的要求。</w:t>
      </w:r>
    </w:p>
    <w:p w14:paraId="56446950">
      <w:pPr>
        <w:pStyle w:val="4"/>
        <w:numPr>
          <w:ilvl w:val="0"/>
          <w:numId w:val="0"/>
        </w:numPr>
        <w:rPr>
          <w:rFonts w:hint="default" w:eastAsia="宋体"/>
          <w:color w:val="auto"/>
          <w:highlight w:val="none"/>
          <w:lang w:val="en-US" w:eastAsia="zh-CN"/>
        </w:rPr>
      </w:pPr>
      <w:bookmarkStart w:id="124" w:name="_Toc117244485"/>
      <w:bookmarkStart w:id="125" w:name="_Toc511889433"/>
      <w:bookmarkStart w:id="126" w:name="_Toc122685178"/>
      <w:bookmarkStart w:id="127" w:name="_Toc8373"/>
      <w:bookmarkStart w:id="128" w:name="_Toc31066"/>
      <w:bookmarkStart w:id="129" w:name="_Toc6701"/>
      <w:bookmarkStart w:id="130" w:name="_Toc102116168"/>
      <w:bookmarkStart w:id="131" w:name="_Toc1118"/>
      <w:bookmarkStart w:id="132" w:name="_Toc107561288"/>
      <w:bookmarkStart w:id="133" w:name="_Toc163492889"/>
      <w:bookmarkStart w:id="134" w:name="_Toc511894511"/>
      <w:bookmarkStart w:id="135" w:name="_Toc1188"/>
      <w:bookmarkStart w:id="136" w:name="_Toc21989"/>
      <w:bookmarkStart w:id="137" w:name="_Toc102116038"/>
      <w:bookmarkStart w:id="138" w:name="_Toc102119869"/>
      <w:bookmarkStart w:id="139" w:name="_Toc494561955"/>
      <w:bookmarkStart w:id="140" w:name="_Toc155185892"/>
      <w:bookmarkStart w:id="141" w:name="_Toc102057734"/>
      <w:bookmarkStart w:id="142" w:name="_Toc117244370"/>
      <w:bookmarkStart w:id="143" w:name="_Toc102056234"/>
      <w:bookmarkStart w:id="144" w:name="_Toc102114936"/>
      <w:r>
        <w:rPr>
          <w:rFonts w:hint="eastAsia" w:ascii="等线 Light" w:hAnsi="等线 Light" w:eastAsia="宋体" w:cs="Times New Roman"/>
          <w:b/>
          <w:bCs/>
          <w:color w:val="auto"/>
          <w:kern w:val="2"/>
          <w:sz w:val="32"/>
          <w:szCs w:val="32"/>
          <w:highlight w:val="none"/>
          <w:lang w:val="en-US" w:eastAsia="zh-CN" w:bidi="ar-SA"/>
        </w:rPr>
        <w:t>四、</w:t>
      </w:r>
      <w:r>
        <w:rPr>
          <w:rFonts w:hint="eastAsia"/>
          <w:color w:val="auto"/>
          <w:highlight w:val="none"/>
        </w:rPr>
        <w:t>技术要求</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Pr>
          <w:rFonts w:hint="eastAsia"/>
          <w:color w:val="auto"/>
          <w:highlight w:val="none"/>
          <w:lang w:val="en-US" w:eastAsia="zh-CN"/>
        </w:rPr>
        <w:t>及目标</w:t>
      </w:r>
    </w:p>
    <w:p w14:paraId="106F9E57">
      <w:pPr>
        <w:rPr>
          <w:rFonts w:hint="eastAsia"/>
          <w:lang w:val="en-US" w:eastAsia="zh-CN"/>
        </w:rPr>
      </w:pPr>
      <w:r>
        <w:rPr>
          <w:rFonts w:hint="eastAsia"/>
          <w:lang w:val="en-US" w:eastAsia="zh-CN"/>
        </w:rPr>
        <w:t>1.符合“</w:t>
      </w:r>
      <w:r>
        <w:rPr>
          <w:rFonts w:hint="eastAsia"/>
          <w:b/>
          <w:bCs/>
          <w:lang w:val="en-US" w:eastAsia="zh-CN"/>
        </w:rPr>
        <w:t>英山县2025年度中央财政森林可持续经营项目作业设计</w:t>
      </w:r>
      <w:r>
        <w:rPr>
          <w:rFonts w:hint="eastAsia"/>
          <w:lang w:val="en-US" w:eastAsia="zh-CN"/>
        </w:rPr>
        <w:t>”的技术要求。</w:t>
      </w:r>
    </w:p>
    <w:p w14:paraId="1F4E28C5">
      <w:pPr>
        <w:rPr>
          <w:rFonts w:hint="default"/>
          <w:highlight w:val="none"/>
          <w:lang w:val="en-US" w:eastAsia="zh-CN"/>
        </w:rPr>
      </w:pPr>
      <w:r>
        <w:rPr>
          <w:rFonts w:hint="eastAsia"/>
          <w:highlight w:val="none"/>
          <w:lang w:val="en-US" w:eastAsia="zh-CN"/>
        </w:rPr>
        <w:t>2.完成“英山县2025年度中央财政森林可持续经营项目作业设计”要求的全部工作内容。</w:t>
      </w:r>
    </w:p>
    <w:p w14:paraId="104F905B">
      <w:pPr>
        <w:pStyle w:val="4"/>
        <w:numPr>
          <w:ilvl w:val="0"/>
          <w:numId w:val="0"/>
        </w:numPr>
        <w:ind w:left="420" w:leftChars="0" w:hanging="420" w:firstLineChars="0"/>
        <w:rPr>
          <w:color w:val="auto"/>
          <w:highlight w:val="none"/>
        </w:rPr>
      </w:pPr>
      <w:bookmarkStart w:id="145" w:name="_Toc28500"/>
      <w:bookmarkStart w:id="146" w:name="_Toc494561956"/>
      <w:bookmarkStart w:id="147" w:name="_Toc102119870"/>
      <w:bookmarkStart w:id="148" w:name="_Toc102056235"/>
      <w:bookmarkStart w:id="149" w:name="_Toc122685179"/>
      <w:bookmarkStart w:id="150" w:name="_Toc27950"/>
      <w:bookmarkStart w:id="151" w:name="_Toc107561289"/>
      <w:bookmarkStart w:id="152" w:name="_Toc102114937"/>
      <w:bookmarkStart w:id="153" w:name="_Toc3590"/>
      <w:bookmarkStart w:id="154" w:name="_Toc163492890"/>
      <w:bookmarkStart w:id="155" w:name="_Toc155185893"/>
      <w:bookmarkStart w:id="156" w:name="_Toc511889434"/>
      <w:bookmarkStart w:id="157" w:name="_Toc102057735"/>
      <w:bookmarkStart w:id="158" w:name="_Toc511894512"/>
      <w:bookmarkStart w:id="159" w:name="_Toc117244371"/>
      <w:bookmarkStart w:id="160" w:name="_Toc25637"/>
      <w:bookmarkStart w:id="161" w:name="_Toc102116039"/>
      <w:bookmarkStart w:id="162" w:name="_Toc102116169"/>
      <w:bookmarkStart w:id="163" w:name="_Toc117244486"/>
      <w:bookmarkStart w:id="164" w:name="_Toc23449"/>
      <w:bookmarkStart w:id="165" w:name="_Toc8557"/>
      <w:r>
        <w:rPr>
          <w:rFonts w:hint="eastAsia" w:ascii="等线 Light" w:hAnsi="等线 Light" w:eastAsia="宋体" w:cs="Times New Roman"/>
          <w:b/>
          <w:bCs/>
          <w:color w:val="auto"/>
          <w:kern w:val="2"/>
          <w:sz w:val="32"/>
          <w:szCs w:val="32"/>
          <w:highlight w:val="none"/>
          <w:lang w:val="en-US" w:eastAsia="zh-CN" w:bidi="ar-SA"/>
        </w:rPr>
        <w:t>五、</w:t>
      </w:r>
      <w:r>
        <w:rPr>
          <w:rFonts w:hint="eastAsia"/>
          <w:color w:val="auto"/>
          <w:highlight w:val="none"/>
        </w:rPr>
        <w:t>商务要求</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19A7E096">
      <w:pPr>
        <w:pStyle w:val="17"/>
        <w:numPr>
          <w:ilvl w:val="0"/>
          <w:numId w:val="5"/>
        </w:numPr>
        <w:ind w:firstLine="480"/>
        <w:rPr>
          <w:rFonts w:hint="eastAsia" w:ascii="宋体" w:hAnsi="宋体" w:eastAsia="宋体" w:cs="仿宋_GB2312"/>
          <w:color w:val="auto"/>
          <w:kern w:val="2"/>
          <w:sz w:val="24"/>
          <w:szCs w:val="22"/>
          <w:highlight w:val="none"/>
          <w:lang w:val="en-US" w:eastAsia="zh-CN" w:bidi="ar-SA"/>
        </w:rPr>
      </w:pPr>
      <w:bookmarkStart w:id="166" w:name="_Toc155185894"/>
      <w:bookmarkStart w:id="167" w:name="_Toc2375"/>
      <w:bookmarkStart w:id="168" w:name="_Toc163492891"/>
      <w:bookmarkStart w:id="169" w:name="_Toc28882"/>
      <w:bookmarkStart w:id="170" w:name="_Toc31679"/>
      <w:bookmarkStart w:id="171" w:name="_Toc29856"/>
      <w:bookmarkStart w:id="172" w:name="_Toc17870"/>
      <w:bookmarkStart w:id="173" w:name="_Toc140132818"/>
      <w:bookmarkStart w:id="174" w:name="_Toc16052"/>
      <w:r>
        <w:rPr>
          <w:rFonts w:hint="eastAsia" w:ascii="宋体" w:hAnsi="宋体" w:eastAsia="宋体" w:cs="仿宋_GB2312"/>
          <w:color w:val="auto"/>
          <w:kern w:val="2"/>
          <w:sz w:val="24"/>
          <w:szCs w:val="22"/>
          <w:highlight w:val="none"/>
          <w:lang w:val="en-US" w:eastAsia="zh-CN" w:bidi="ar-SA"/>
        </w:rPr>
        <w:t>服务期：1</w:t>
      </w:r>
      <w:r>
        <w:rPr>
          <w:rFonts w:hint="eastAsia" w:cs="仿宋_GB2312"/>
          <w:color w:val="auto"/>
          <w:kern w:val="2"/>
          <w:sz w:val="24"/>
          <w:szCs w:val="22"/>
          <w:highlight w:val="none"/>
          <w:lang w:val="en-US" w:eastAsia="zh-CN" w:bidi="ar-SA"/>
        </w:rPr>
        <w:t>8</w:t>
      </w:r>
      <w:r>
        <w:rPr>
          <w:rFonts w:hint="eastAsia" w:ascii="宋体" w:hAnsi="宋体" w:eastAsia="宋体" w:cs="仿宋_GB2312"/>
          <w:color w:val="auto"/>
          <w:kern w:val="2"/>
          <w:sz w:val="24"/>
          <w:szCs w:val="22"/>
          <w:highlight w:val="none"/>
          <w:lang w:val="en-US" w:eastAsia="zh-CN" w:bidi="ar-SA"/>
        </w:rPr>
        <w:t>0日历天</w:t>
      </w:r>
    </w:p>
    <w:p w14:paraId="56752498">
      <w:pPr>
        <w:numPr>
          <w:ilvl w:val="0"/>
          <w:numId w:val="5"/>
        </w:numPr>
        <w:ind w:left="0" w:leftChars="0" w:firstLine="480" w:firstLineChars="200"/>
        <w:rPr>
          <w:rFonts w:hint="eastAsia" w:ascii="宋体" w:hAnsi="宋体" w:eastAsia="宋体" w:cs="仿宋_GB2312"/>
          <w:color w:val="auto"/>
          <w:kern w:val="2"/>
          <w:sz w:val="24"/>
          <w:szCs w:val="22"/>
          <w:highlight w:val="none"/>
          <w:lang w:val="en-US" w:eastAsia="zh-CN" w:bidi="ar-SA"/>
        </w:rPr>
      </w:pPr>
      <w:r>
        <w:rPr>
          <w:rFonts w:hint="eastAsia" w:ascii="宋体" w:hAnsi="宋体" w:eastAsia="宋体" w:cs="仿宋_GB2312"/>
          <w:color w:val="auto"/>
          <w:kern w:val="2"/>
          <w:sz w:val="24"/>
          <w:szCs w:val="22"/>
          <w:highlight w:val="none"/>
          <w:lang w:val="en-US" w:eastAsia="zh-CN" w:bidi="ar-SA"/>
        </w:rPr>
        <w:t>服务地点：英山县方家咀乡、孔家坊乡、草盘地镇、红山镇、南河镇、</w:t>
      </w:r>
    </w:p>
    <w:p w14:paraId="74BD655E">
      <w:pPr>
        <w:numPr>
          <w:ilvl w:val="0"/>
          <w:numId w:val="0"/>
        </w:numPr>
        <w:ind w:firstLine="1920" w:firstLineChars="800"/>
        <w:rPr>
          <w:rFonts w:hint="default"/>
          <w:color w:val="auto"/>
          <w:highlight w:val="none"/>
          <w:lang w:val="en-US" w:eastAsia="zh-CN"/>
        </w:rPr>
      </w:pPr>
      <w:r>
        <w:rPr>
          <w:rFonts w:hint="eastAsia" w:ascii="宋体" w:hAnsi="宋体" w:eastAsia="宋体" w:cs="仿宋_GB2312"/>
          <w:color w:val="auto"/>
          <w:kern w:val="2"/>
          <w:sz w:val="24"/>
          <w:szCs w:val="22"/>
          <w:highlight w:val="none"/>
          <w:lang w:val="en-US" w:eastAsia="zh-CN" w:bidi="ar-SA"/>
        </w:rPr>
        <w:t>石头咀镇等2乡4镇52村</w:t>
      </w:r>
      <w:r>
        <w:rPr>
          <w:rFonts w:hint="eastAsia" w:cs="仿宋_GB2312"/>
          <w:color w:val="auto"/>
          <w:kern w:val="2"/>
          <w:sz w:val="24"/>
          <w:szCs w:val="22"/>
          <w:highlight w:val="none"/>
          <w:lang w:val="en-US" w:eastAsia="zh-CN" w:bidi="ar-SA"/>
        </w:rPr>
        <w:t>。</w:t>
      </w:r>
    </w:p>
    <w:p w14:paraId="053B982F">
      <w:pPr>
        <w:numPr>
          <w:ilvl w:val="0"/>
          <w:numId w:val="5"/>
        </w:numPr>
        <w:ind w:left="0" w:leftChars="0" w:firstLine="480" w:firstLineChars="200"/>
        <w:rPr>
          <w:rFonts w:hint="default"/>
          <w:color w:val="auto"/>
          <w:highlight w:val="none"/>
          <w:lang w:val="en-US" w:eastAsia="zh-CN"/>
        </w:rPr>
      </w:pPr>
      <w:r>
        <w:rPr>
          <w:rFonts w:hint="eastAsia" w:ascii="宋体" w:hAnsi="宋体" w:eastAsia="宋体" w:cs="仿宋_GB2312"/>
          <w:color w:val="auto"/>
          <w:kern w:val="2"/>
          <w:sz w:val="24"/>
          <w:szCs w:val="22"/>
          <w:highlight w:val="none"/>
          <w:lang w:val="en-US" w:eastAsia="zh-CN" w:bidi="ar-SA"/>
        </w:rPr>
        <w:t>付款方式：在合同中约定</w:t>
      </w:r>
    </w:p>
    <w:p w14:paraId="7F2A6E65">
      <w:pPr>
        <w:pStyle w:val="4"/>
        <w:numPr>
          <w:ilvl w:val="0"/>
          <w:numId w:val="0"/>
        </w:numPr>
        <w:ind w:leftChars="0"/>
        <w:rPr>
          <w:color w:val="auto"/>
          <w:highlight w:val="none"/>
        </w:rPr>
      </w:pPr>
      <w:r>
        <w:rPr>
          <w:rFonts w:hint="eastAsia"/>
          <w:color w:val="auto"/>
          <w:highlight w:val="none"/>
          <w:lang w:val="en-US" w:eastAsia="zh-CN"/>
        </w:rPr>
        <w:t>六、</w:t>
      </w:r>
      <w:r>
        <w:rPr>
          <w:rFonts w:hint="eastAsia"/>
          <w:color w:val="auto"/>
          <w:highlight w:val="none"/>
        </w:rPr>
        <w:t>采购标的的验收标准</w:t>
      </w:r>
      <w:bookmarkEnd w:id="166"/>
      <w:bookmarkEnd w:id="167"/>
      <w:bookmarkEnd w:id="168"/>
      <w:bookmarkEnd w:id="169"/>
      <w:bookmarkEnd w:id="170"/>
      <w:bookmarkEnd w:id="171"/>
      <w:bookmarkEnd w:id="172"/>
      <w:bookmarkEnd w:id="173"/>
      <w:bookmarkEnd w:id="174"/>
    </w:p>
    <w:p w14:paraId="1CB080D9">
      <w:pPr>
        <w:rPr>
          <w:color w:val="auto"/>
          <w:highlight w:val="none"/>
        </w:rPr>
      </w:pPr>
      <w:r>
        <w:rPr>
          <w:rFonts w:hint="eastAsia"/>
          <w:color w:val="auto"/>
          <w:highlight w:val="none"/>
        </w:rPr>
        <w:t xml:space="preserve"> 符合国家和地方现行相关规范、规程、规定，满足采购人要求。</w:t>
      </w:r>
    </w:p>
    <w:p w14:paraId="166107EE">
      <w:pPr>
        <w:numPr>
          <w:ilvl w:val="0"/>
          <w:numId w:val="0"/>
        </w:numPr>
      </w:pPr>
    </w:p>
    <w:p w14:paraId="71A8041B">
      <w:pPr>
        <w:pStyle w:val="2"/>
      </w:pPr>
    </w:p>
    <w:p w14:paraId="56E56406">
      <w:pPr>
        <w:pStyle w:val="2"/>
      </w:pPr>
    </w:p>
    <w:p w14:paraId="2BDC67F7">
      <w:pPr>
        <w:pStyle w:val="2"/>
      </w:pPr>
    </w:p>
    <w:p w14:paraId="7C7A91BE">
      <w:pPr>
        <w:pStyle w:val="2"/>
      </w:pPr>
    </w:p>
    <w:p w14:paraId="6F5657B3">
      <w:pPr>
        <w:pStyle w:val="2"/>
      </w:pPr>
    </w:p>
    <w:p w14:paraId="348BAA3D">
      <w:pPr>
        <w:pStyle w:val="2"/>
      </w:pPr>
    </w:p>
    <w:p w14:paraId="52EE0023">
      <w:pPr>
        <w:pStyle w:val="2"/>
      </w:pPr>
    </w:p>
    <w:p w14:paraId="743A5179">
      <w:pPr>
        <w:pStyle w:val="2"/>
      </w:pPr>
    </w:p>
    <w:p w14:paraId="186EF504">
      <w:pPr>
        <w:pStyle w:val="2"/>
      </w:pPr>
    </w:p>
    <w:p w14:paraId="33F2317A">
      <w:pPr>
        <w:pStyle w:val="2"/>
      </w:pPr>
    </w:p>
    <w:p w14:paraId="3225154B">
      <w:pPr>
        <w:pStyle w:val="2"/>
      </w:pPr>
    </w:p>
    <w:p w14:paraId="1D72DAC8">
      <w:pPr>
        <w:pStyle w:val="2"/>
      </w:pPr>
    </w:p>
    <w:p w14:paraId="3C0BCC05">
      <w:pPr>
        <w:pStyle w:val="2"/>
      </w:pPr>
    </w:p>
    <w:p w14:paraId="165820A6">
      <w:pPr>
        <w:pStyle w:val="2"/>
      </w:pPr>
    </w:p>
    <w:p w14:paraId="11F9B865">
      <w:pPr>
        <w:pStyle w:val="2"/>
      </w:pPr>
    </w:p>
    <w:p w14:paraId="34EC5113">
      <w:pPr>
        <w:pStyle w:val="2"/>
      </w:pPr>
    </w:p>
    <w:p w14:paraId="5F55ED91">
      <w:pPr>
        <w:pStyle w:val="2"/>
      </w:pPr>
    </w:p>
    <w:p w14:paraId="3961C8EA">
      <w:pPr>
        <w:pStyle w:val="2"/>
      </w:pPr>
    </w:p>
    <w:p w14:paraId="1E8DE3E6">
      <w:pPr>
        <w:pStyle w:val="2"/>
      </w:pPr>
    </w:p>
    <w:p w14:paraId="34AB99CB">
      <w:pPr>
        <w:pStyle w:val="2"/>
      </w:pPr>
    </w:p>
    <w:p w14:paraId="28AB0883">
      <w:pPr>
        <w:pStyle w:val="2"/>
      </w:pPr>
    </w:p>
    <w:p w14:paraId="1835D4F8">
      <w:pPr>
        <w:pStyle w:val="3"/>
        <w:numPr>
          <w:ilvl w:val="0"/>
          <w:numId w:val="0"/>
        </w:numPr>
        <w:jc w:val="center"/>
      </w:pPr>
      <w:r>
        <w:rPr>
          <w:rFonts w:hint="eastAsia" w:ascii="宋体" w:hAnsi="宋体" w:eastAsia="黑体" w:cs="Times New Roman"/>
          <w:b/>
          <w:bCs/>
          <w:kern w:val="44"/>
          <w:sz w:val="44"/>
          <w:szCs w:val="44"/>
          <w:lang w:val="en-US" w:eastAsia="zh-CN" w:bidi="ar-SA"/>
        </w:rPr>
        <w:t>第</w:t>
      </w:r>
      <w:r>
        <w:rPr>
          <w:rFonts w:hint="eastAsia" w:cs="Times New Roman"/>
          <w:b/>
          <w:bCs/>
          <w:kern w:val="44"/>
          <w:sz w:val="44"/>
          <w:szCs w:val="44"/>
          <w:lang w:val="en-US" w:eastAsia="zh-CN" w:bidi="ar-SA"/>
        </w:rPr>
        <w:t>三</w:t>
      </w:r>
      <w:r>
        <w:rPr>
          <w:rFonts w:hint="eastAsia" w:ascii="宋体" w:hAnsi="宋体" w:eastAsia="黑体" w:cs="Times New Roman"/>
          <w:b/>
          <w:bCs/>
          <w:kern w:val="44"/>
          <w:sz w:val="44"/>
          <w:szCs w:val="44"/>
          <w:lang w:val="en-US" w:eastAsia="zh-CN" w:bidi="ar-SA"/>
        </w:rPr>
        <w:t xml:space="preserve">章 </w:t>
      </w:r>
      <w:r>
        <w:rPr>
          <w:rFonts w:hint="eastAsia"/>
        </w:rPr>
        <w:t>资格审查方法及标准</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765EFE91">
      <w:pPr>
        <w:pStyle w:val="17"/>
      </w:pPr>
      <w:r>
        <w:rPr>
          <w:rFonts w:hint="eastAsia"/>
        </w:rPr>
        <w:t>根据《中华人民共和国政府采购法》及其实施条例、《政府采购货物和服务招标投标管理办法》等相关法律法规确定以下资格审查方法和标准。</w:t>
      </w:r>
    </w:p>
    <w:p w14:paraId="6F8882E4">
      <w:pPr>
        <w:pStyle w:val="4"/>
        <w:numPr>
          <w:ilvl w:val="0"/>
          <w:numId w:val="6"/>
        </w:numPr>
        <w:rPr>
          <w:lang w:val="zh-CN"/>
        </w:rPr>
      </w:pPr>
      <w:bookmarkStart w:id="175" w:name="_Toc155185897"/>
      <w:bookmarkStart w:id="176" w:name="_Toc140132822"/>
      <w:bookmarkStart w:id="177" w:name="_Toc12098"/>
      <w:bookmarkStart w:id="178" w:name="_Toc13345"/>
      <w:bookmarkStart w:id="179" w:name="_Toc11149"/>
      <w:bookmarkStart w:id="180" w:name="_Toc163492893"/>
      <w:bookmarkStart w:id="181" w:name="_Toc10434"/>
      <w:bookmarkStart w:id="182" w:name="_Toc28228"/>
      <w:bookmarkStart w:id="183" w:name="_Toc7761"/>
      <w:r>
        <w:rPr>
          <w:rFonts w:hint="eastAsia"/>
          <w:lang w:val="zh-CN"/>
        </w:rPr>
        <w:t>资格审查</w:t>
      </w:r>
      <w:bookmarkEnd w:id="175"/>
      <w:bookmarkEnd w:id="176"/>
      <w:r>
        <w:rPr>
          <w:rFonts w:hint="eastAsia"/>
        </w:rPr>
        <w:t>方法</w:t>
      </w:r>
      <w:bookmarkEnd w:id="177"/>
      <w:bookmarkEnd w:id="178"/>
      <w:bookmarkEnd w:id="179"/>
      <w:bookmarkEnd w:id="180"/>
      <w:bookmarkEnd w:id="181"/>
      <w:bookmarkEnd w:id="182"/>
      <w:bookmarkEnd w:id="183"/>
    </w:p>
    <w:p w14:paraId="61C87C53">
      <w:pPr>
        <w:ind w:firstLine="420"/>
        <w:rPr>
          <w:bCs/>
          <w:color w:val="0D0D0D"/>
          <w:lang w:val="zh-CN"/>
        </w:rPr>
      </w:pPr>
      <w:r>
        <w:rPr>
          <w:rFonts w:hint="eastAsia"/>
          <w:bCs/>
          <w:color w:val="0D0D0D"/>
          <w:lang w:val="zh-CN"/>
        </w:rPr>
        <w:t>开标结束后，采购人或采购代理机构依据法律、法规及招标文件的规定，对投标人的资格进行审查，以确定投标人资格是否合格。</w:t>
      </w:r>
    </w:p>
    <w:p w14:paraId="7E1FCBFD">
      <w:pPr>
        <w:pStyle w:val="4"/>
        <w:numPr>
          <w:ilvl w:val="0"/>
          <w:numId w:val="6"/>
        </w:numPr>
        <w:rPr>
          <w:lang w:val="zh-CN"/>
        </w:rPr>
      </w:pPr>
      <w:bookmarkStart w:id="184" w:name="_Toc15097"/>
      <w:bookmarkStart w:id="185" w:name="_Toc12555"/>
      <w:bookmarkStart w:id="186" w:name="_Toc5486"/>
      <w:bookmarkStart w:id="187" w:name="_Toc11067"/>
      <w:bookmarkStart w:id="188" w:name="_Toc163492894"/>
      <w:bookmarkStart w:id="189" w:name="_Toc10464"/>
      <w:bookmarkStart w:id="190" w:name="_Toc8696"/>
      <w:r>
        <w:rPr>
          <w:rFonts w:hint="eastAsia"/>
          <w:lang w:val="zh-CN"/>
        </w:rPr>
        <w:t>资格审查程序</w:t>
      </w:r>
      <w:bookmarkEnd w:id="184"/>
      <w:bookmarkEnd w:id="185"/>
      <w:bookmarkEnd w:id="186"/>
      <w:bookmarkEnd w:id="187"/>
      <w:bookmarkEnd w:id="188"/>
      <w:bookmarkEnd w:id="189"/>
      <w:bookmarkEnd w:id="190"/>
    </w:p>
    <w:p w14:paraId="0DFF4CE8">
      <w:pPr>
        <w:pStyle w:val="5"/>
        <w:numPr>
          <w:ilvl w:val="0"/>
          <w:numId w:val="7"/>
        </w:numPr>
      </w:pPr>
      <w:bookmarkStart w:id="191" w:name="_Toc163492895"/>
      <w:bookmarkStart w:id="192" w:name="_Toc155185898"/>
      <w:bookmarkStart w:id="193" w:name="_Toc13914"/>
      <w:r>
        <w:rPr>
          <w:rFonts w:hint="eastAsia"/>
          <w:lang w:val="zh-CN"/>
        </w:rPr>
        <w:t>资格审查</w:t>
      </w:r>
      <w:bookmarkEnd w:id="191"/>
      <w:bookmarkEnd w:id="192"/>
      <w:bookmarkEnd w:id="193"/>
    </w:p>
    <w:p w14:paraId="74DF7195">
      <w:pPr>
        <w:wordWrap w:val="0"/>
        <w:ind w:firstLine="420"/>
        <w:rPr>
          <w:rFonts w:cs="Helvetica"/>
          <w:szCs w:val="24"/>
          <w:lang w:val="zh-CN"/>
        </w:rPr>
      </w:pPr>
      <w:r>
        <w:rPr>
          <w:rFonts w:hint="eastAsia"/>
          <w:bCs/>
          <w:szCs w:val="24"/>
          <w:lang w:val="zh-CN"/>
        </w:rPr>
        <w:t>1</w:t>
      </w:r>
      <w:r>
        <w:rPr>
          <w:bCs/>
          <w:szCs w:val="24"/>
          <w:lang w:val="zh-CN"/>
        </w:rPr>
        <w:t>.</w:t>
      </w:r>
      <w:r>
        <w:rPr>
          <w:rFonts w:hint="eastAsia"/>
          <w:bCs/>
          <w:szCs w:val="24"/>
          <w:lang w:val="zh-CN"/>
        </w:rPr>
        <w:t>开标结束后，采购人或采购代理机构</w:t>
      </w:r>
      <w:r>
        <w:rPr>
          <w:rFonts w:hint="eastAsia" w:cs="Helvetica"/>
          <w:szCs w:val="24"/>
          <w:lang w:val="zh-CN"/>
        </w:rPr>
        <w:t xml:space="preserve">根据“第一章 </w:t>
      </w:r>
      <w:r>
        <w:rPr>
          <w:rFonts w:hint="eastAsia" w:cs="Helvetica"/>
          <w:szCs w:val="24"/>
          <w:lang w:val="en-US" w:eastAsia="zh-CN"/>
        </w:rPr>
        <w:t>招标公告</w:t>
      </w:r>
      <w:r>
        <w:rPr>
          <w:rFonts w:hint="eastAsia" w:cs="Helvetica"/>
          <w:szCs w:val="24"/>
          <w:lang w:val="zh-CN"/>
        </w:rPr>
        <w:t>”中投标人资格要求并按本章“三</w:t>
      </w:r>
      <w:r>
        <w:rPr>
          <w:rFonts w:cs="Helvetica"/>
          <w:szCs w:val="24"/>
          <w:lang w:val="zh-CN"/>
        </w:rPr>
        <w:t>、</w:t>
      </w:r>
      <w:r>
        <w:rPr>
          <w:rFonts w:hint="eastAsia" w:cs="Helvetica"/>
          <w:szCs w:val="24"/>
          <w:lang w:val="zh-CN"/>
        </w:rPr>
        <w:t>资格审查标准”所列的内容，对投标人资格进行审查，不满足资格审查标准要求的按</w:t>
      </w:r>
      <w:r>
        <w:rPr>
          <w:rFonts w:hint="eastAsia" w:cs="Helvetica"/>
          <w:b/>
          <w:szCs w:val="24"/>
          <w:lang w:val="zh-CN"/>
        </w:rPr>
        <w:t>无效投标处理</w:t>
      </w:r>
      <w:r>
        <w:rPr>
          <w:rFonts w:hint="eastAsia" w:cs="Helvetica"/>
          <w:szCs w:val="24"/>
          <w:lang w:val="zh-CN"/>
        </w:rPr>
        <w:t>。</w:t>
      </w:r>
      <w:bookmarkStart w:id="194" w:name="_Toc102114918"/>
      <w:bookmarkStart w:id="195" w:name="_Toc102056216"/>
      <w:bookmarkStart w:id="196" w:name="_Toc102116020"/>
      <w:bookmarkStart w:id="197" w:name="_Toc102119851"/>
      <w:bookmarkStart w:id="198" w:name="_Toc102057716"/>
      <w:bookmarkStart w:id="199" w:name="_Toc102116150"/>
      <w:bookmarkStart w:id="200" w:name="_Toc102116173"/>
      <w:bookmarkStart w:id="201" w:name="_Toc102056239"/>
      <w:bookmarkStart w:id="202" w:name="_Toc102057739"/>
      <w:bookmarkStart w:id="203" w:name="_Toc102114941"/>
      <w:bookmarkStart w:id="204" w:name="_Toc102116043"/>
      <w:bookmarkStart w:id="205" w:name="_Toc102119874"/>
    </w:p>
    <w:bookmarkEnd w:id="194"/>
    <w:bookmarkEnd w:id="195"/>
    <w:bookmarkEnd w:id="196"/>
    <w:bookmarkEnd w:id="197"/>
    <w:bookmarkEnd w:id="198"/>
    <w:bookmarkEnd w:id="199"/>
    <w:p w14:paraId="20D8FB01">
      <w:pPr>
        <w:pStyle w:val="5"/>
        <w:numPr>
          <w:ilvl w:val="0"/>
          <w:numId w:val="7"/>
        </w:numPr>
        <w:rPr>
          <w:lang w:val="zh-CN"/>
        </w:rPr>
      </w:pPr>
      <w:bookmarkStart w:id="206" w:name="_Toc163492896"/>
      <w:bookmarkStart w:id="207" w:name="_Toc28269"/>
      <w:bookmarkStart w:id="208" w:name="_Toc155185900"/>
      <w:r>
        <w:rPr>
          <w:rFonts w:hint="eastAsia"/>
          <w:lang w:val="zh-CN"/>
        </w:rPr>
        <w:t>信</w:t>
      </w:r>
      <w:bookmarkStart w:id="209" w:name="_Hlk162301965"/>
      <w:r>
        <w:rPr>
          <w:rFonts w:hint="eastAsia"/>
          <w:lang w:val="zh-CN"/>
        </w:rPr>
        <w:t>用信息核查</w:t>
      </w:r>
      <w:bookmarkEnd w:id="206"/>
      <w:bookmarkEnd w:id="207"/>
      <w:bookmarkEnd w:id="209"/>
    </w:p>
    <w:p w14:paraId="09EFD6F2">
      <w:pPr>
        <w:pStyle w:val="17"/>
      </w:pPr>
      <w:bookmarkStart w:id="210" w:name="_Hlk162301966"/>
      <w:r>
        <w:rPr>
          <w:rFonts w:hint="eastAsia"/>
        </w:rPr>
        <w:t>1</w:t>
      </w:r>
      <w:r>
        <w:t>.根据《关于在政府采购活动中查询及使用信用记录有关问题的通知》（财库〔2016〕125号）要求，投标人信用信息以“信用中国”网 (http://www.creditchina.gov.cn)和中国政府采购网(http://www.ccgp.gov.cn)查询的结果为准。</w:t>
      </w:r>
    </w:p>
    <w:p w14:paraId="4389E846">
      <w:pPr>
        <w:pStyle w:val="17"/>
      </w:pPr>
      <w:r>
        <w:t>2.资格审查当日应当核查投标人信用记录，投标人被列入失信被执行人、重大税收违法失信主体、政府采购严重违法失信行为记录名单的，</w:t>
      </w:r>
      <w:r>
        <w:rPr>
          <w:rFonts w:hint="eastAsia"/>
        </w:rPr>
        <w:t>采购代理机构</w:t>
      </w:r>
      <w:r>
        <w:t>拒绝其参加政府采购活动。</w:t>
      </w:r>
    </w:p>
    <w:p w14:paraId="23F498F9">
      <w:pPr>
        <w:pStyle w:val="17"/>
      </w:pPr>
      <w:r>
        <w:t>3</w:t>
      </w:r>
      <w:r>
        <w:rPr>
          <w:rFonts w:hint="eastAsia"/>
        </w:rPr>
        <w:t>．</w:t>
      </w:r>
      <w:r>
        <w:t>以联合体形式投标的，应当核查联合体所有成员的信用记录，联合体成员存在不良信用记录的，视同联合体存在不良信用信息。</w:t>
      </w:r>
    </w:p>
    <w:p w14:paraId="055DE685">
      <w:pPr>
        <w:pStyle w:val="17"/>
      </w:pPr>
      <w:r>
        <w:t>4.资格审查与评标工作未在同日进行的特殊情形下，</w:t>
      </w:r>
      <w:r>
        <w:rPr>
          <w:rFonts w:hint="eastAsia"/>
        </w:rPr>
        <w:t>采购代理机构</w:t>
      </w:r>
      <w:r>
        <w:t>工作人员在评标时应当对投标人的信用信息进行复核，发现评标当日存在不良信用信息的，由评标委员会按照符合性审查不合格作</w:t>
      </w:r>
      <w:r>
        <w:rPr>
          <w:b/>
          <w:bCs/>
        </w:rPr>
        <w:t>无效投标</w:t>
      </w:r>
      <w:r>
        <w:t>处理。</w:t>
      </w:r>
      <w:bookmarkEnd w:id="210"/>
    </w:p>
    <w:p w14:paraId="2E6F6B84">
      <w:pPr>
        <w:pStyle w:val="5"/>
        <w:numPr>
          <w:ilvl w:val="0"/>
          <w:numId w:val="7"/>
        </w:numPr>
        <w:rPr>
          <w:lang w:val="zh-CN"/>
        </w:rPr>
      </w:pPr>
      <w:bookmarkStart w:id="211" w:name="_Toc163492897"/>
      <w:bookmarkStart w:id="212" w:name="_Toc31190"/>
      <w:r>
        <w:rPr>
          <w:rFonts w:hint="eastAsia"/>
          <w:lang w:val="zh-CN"/>
        </w:rPr>
        <w:t>资格审查</w:t>
      </w:r>
      <w:bookmarkEnd w:id="200"/>
      <w:bookmarkEnd w:id="201"/>
      <w:bookmarkEnd w:id="202"/>
      <w:bookmarkEnd w:id="203"/>
      <w:bookmarkEnd w:id="204"/>
      <w:bookmarkEnd w:id="205"/>
      <w:r>
        <w:rPr>
          <w:rFonts w:hint="eastAsia"/>
          <w:lang w:val="zh-CN"/>
        </w:rPr>
        <w:t>结果</w:t>
      </w:r>
      <w:bookmarkEnd w:id="208"/>
      <w:bookmarkEnd w:id="211"/>
      <w:bookmarkEnd w:id="212"/>
    </w:p>
    <w:p w14:paraId="45BA97B1">
      <w:pPr>
        <w:pStyle w:val="17"/>
      </w:pPr>
      <w:r>
        <w:t>1.</w:t>
      </w:r>
      <w:r>
        <w:rPr>
          <w:rFonts w:hint="eastAsia"/>
        </w:rPr>
        <w:t>根据资格审查的情况，确定资格审查合格的投标人，并形成资格审查结果。</w:t>
      </w:r>
    </w:p>
    <w:p w14:paraId="25E18756">
      <w:pPr>
        <w:pStyle w:val="17"/>
        <w:outlineLvl w:val="3"/>
      </w:pPr>
      <w:r>
        <w:t>2.</w:t>
      </w:r>
      <w:r>
        <w:rPr>
          <w:rFonts w:hint="eastAsia"/>
        </w:rPr>
        <w:t>资格审查合格投标人不足3家的，不得评标，应予以</w:t>
      </w:r>
      <w:r>
        <w:rPr>
          <w:rFonts w:hint="eastAsia"/>
          <w:b/>
          <w:bCs/>
        </w:rPr>
        <w:t>废标</w:t>
      </w:r>
      <w:r>
        <w:rPr>
          <w:rFonts w:hint="eastAsia"/>
        </w:rPr>
        <w:t>。</w:t>
      </w:r>
    </w:p>
    <w:p w14:paraId="5A92C321">
      <w:pPr>
        <w:pStyle w:val="19"/>
      </w:pPr>
    </w:p>
    <w:p w14:paraId="53243F32">
      <w:pPr>
        <w:pStyle w:val="19"/>
      </w:pPr>
    </w:p>
    <w:p w14:paraId="42BF883E">
      <w:pPr>
        <w:pStyle w:val="19"/>
        <w:sectPr>
          <w:pgSz w:w="11906" w:h="16838"/>
          <w:pgMar w:top="1440" w:right="1800" w:bottom="1440" w:left="1800" w:header="851" w:footer="992" w:gutter="0"/>
          <w:pgNumType w:fmt="decimal"/>
          <w:cols w:space="720" w:num="1"/>
          <w:docGrid w:type="lines" w:linePitch="312" w:charSpace="0"/>
        </w:sectPr>
      </w:pPr>
    </w:p>
    <w:p w14:paraId="235F264F">
      <w:pPr>
        <w:pStyle w:val="4"/>
        <w:numPr>
          <w:ilvl w:val="0"/>
          <w:numId w:val="6"/>
        </w:numPr>
      </w:pPr>
      <w:bookmarkStart w:id="213" w:name="_Toc13558"/>
      <w:bookmarkStart w:id="214" w:name="_Toc17343"/>
      <w:bookmarkStart w:id="215" w:name="_Toc27329"/>
      <w:bookmarkStart w:id="216" w:name="_Toc163492898"/>
      <w:bookmarkStart w:id="217" w:name="_Toc15587"/>
      <w:bookmarkStart w:id="218" w:name="_Toc22794"/>
      <w:bookmarkStart w:id="219" w:name="_Toc14439"/>
      <w:bookmarkStart w:id="220" w:name="_Toc140132821"/>
      <w:bookmarkStart w:id="221" w:name="_Toc494561958"/>
      <w:bookmarkStart w:id="222" w:name="_Toc155185896"/>
      <w:bookmarkStart w:id="223" w:name="_Toc61280398"/>
      <w:bookmarkStart w:id="224" w:name="_Toc511894514"/>
      <w:bookmarkStart w:id="225" w:name="_Toc109899899"/>
      <w:bookmarkStart w:id="226" w:name="_Toc109900318"/>
      <w:bookmarkStart w:id="227" w:name="_Toc109899480"/>
      <w:bookmarkStart w:id="228" w:name="_Toc155185903"/>
      <w:r>
        <w:rPr>
          <w:rFonts w:hint="eastAsia" w:ascii="等线 Light" w:hAnsi="等线 Light" w:eastAsia="等线 Light" w:cs="宋体"/>
          <w:color w:val="000000"/>
          <w:kern w:val="0"/>
          <w:szCs w:val="21"/>
        </w:rPr>
        <w:t>资格审查标准</w:t>
      </w:r>
      <w:bookmarkEnd w:id="213"/>
      <w:bookmarkEnd w:id="214"/>
      <w:bookmarkEnd w:id="215"/>
      <w:bookmarkEnd w:id="216"/>
      <w:bookmarkEnd w:id="217"/>
      <w:bookmarkEnd w:id="218"/>
      <w:bookmarkEnd w:id="219"/>
    </w:p>
    <w:tbl>
      <w:tblPr>
        <w:tblStyle w:val="11"/>
        <w:tblW w:w="8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43"/>
        <w:gridCol w:w="2666"/>
        <w:gridCol w:w="5076"/>
      </w:tblGrid>
      <w:tr w14:paraId="4FFA1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3" w:hRule="atLeast"/>
          <w:jc w:val="center"/>
        </w:trPr>
        <w:tc>
          <w:tcPr>
            <w:tcW w:w="843" w:type="dxa"/>
            <w:shd w:val="clear" w:color="auto" w:fill="D8D8D8"/>
            <w:noWrap w:val="0"/>
            <w:vAlign w:val="center"/>
          </w:tcPr>
          <w:p w14:paraId="5491099B">
            <w:pPr>
              <w:pStyle w:val="19"/>
              <w:jc w:val="center"/>
              <w:rPr>
                <w:b/>
                <w:bCs/>
                <w:color w:val="auto"/>
                <w:highlight w:val="none"/>
              </w:rPr>
            </w:pPr>
            <w:r>
              <w:rPr>
                <w:rFonts w:hint="eastAsia"/>
                <w:b/>
                <w:bCs/>
                <w:color w:val="auto"/>
                <w:highlight w:val="none"/>
              </w:rPr>
              <w:t>序号</w:t>
            </w:r>
          </w:p>
        </w:tc>
        <w:tc>
          <w:tcPr>
            <w:tcW w:w="2666" w:type="dxa"/>
            <w:shd w:val="clear" w:color="auto" w:fill="D8D8D8"/>
            <w:noWrap w:val="0"/>
            <w:vAlign w:val="center"/>
          </w:tcPr>
          <w:p w14:paraId="5416265C">
            <w:pPr>
              <w:pStyle w:val="19"/>
              <w:jc w:val="center"/>
              <w:rPr>
                <w:b/>
                <w:bCs/>
                <w:color w:val="auto"/>
                <w:highlight w:val="none"/>
              </w:rPr>
            </w:pPr>
            <w:r>
              <w:rPr>
                <w:rFonts w:hint="eastAsia"/>
                <w:b/>
                <w:bCs/>
                <w:color w:val="auto"/>
                <w:highlight w:val="none"/>
              </w:rPr>
              <w:t>资格要求</w:t>
            </w:r>
          </w:p>
        </w:tc>
        <w:tc>
          <w:tcPr>
            <w:tcW w:w="5076" w:type="dxa"/>
            <w:shd w:val="clear" w:color="auto" w:fill="D8D8D8"/>
            <w:noWrap w:val="0"/>
            <w:vAlign w:val="center"/>
          </w:tcPr>
          <w:p w14:paraId="20927F38">
            <w:pPr>
              <w:pStyle w:val="19"/>
              <w:jc w:val="center"/>
              <w:rPr>
                <w:b/>
                <w:bCs/>
                <w:color w:val="auto"/>
                <w:highlight w:val="none"/>
              </w:rPr>
            </w:pPr>
            <w:r>
              <w:rPr>
                <w:rFonts w:hint="eastAsia"/>
                <w:b/>
                <w:bCs/>
                <w:color w:val="auto"/>
                <w:highlight w:val="none"/>
              </w:rPr>
              <w:t>审查内容</w:t>
            </w:r>
          </w:p>
        </w:tc>
      </w:tr>
      <w:tr w14:paraId="1A29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732" w:hRule="atLeast"/>
          <w:jc w:val="center"/>
        </w:trPr>
        <w:tc>
          <w:tcPr>
            <w:tcW w:w="843" w:type="dxa"/>
            <w:vMerge w:val="restart"/>
            <w:noWrap w:val="0"/>
            <w:vAlign w:val="center"/>
          </w:tcPr>
          <w:p w14:paraId="448B0787">
            <w:pPr>
              <w:pStyle w:val="19"/>
              <w:numPr>
                <w:ilvl w:val="0"/>
                <w:numId w:val="8"/>
              </w:numPr>
              <w:rPr>
                <w:color w:val="auto"/>
                <w:highlight w:val="none"/>
              </w:rPr>
            </w:pPr>
          </w:p>
        </w:tc>
        <w:tc>
          <w:tcPr>
            <w:tcW w:w="2666" w:type="dxa"/>
            <w:noWrap w:val="0"/>
            <w:vAlign w:val="center"/>
          </w:tcPr>
          <w:p w14:paraId="6EFC6BD8">
            <w:pPr>
              <w:pStyle w:val="19"/>
              <w:jc w:val="both"/>
              <w:rPr>
                <w:color w:val="auto"/>
                <w:highlight w:val="none"/>
              </w:rPr>
            </w:pPr>
            <w:r>
              <w:rPr>
                <w:rFonts w:hint="eastAsia"/>
                <w:color w:val="auto"/>
                <w:highlight w:val="none"/>
              </w:rPr>
              <w:t>具有独立承担民事责任的能力</w:t>
            </w:r>
          </w:p>
        </w:tc>
        <w:tc>
          <w:tcPr>
            <w:tcW w:w="5076" w:type="dxa"/>
            <w:noWrap w:val="0"/>
            <w:vAlign w:val="center"/>
          </w:tcPr>
          <w:p w14:paraId="35E7C803">
            <w:pPr>
              <w:pStyle w:val="19"/>
              <w:jc w:val="both"/>
              <w:rPr>
                <w:color w:val="auto"/>
                <w:highlight w:val="none"/>
              </w:rPr>
            </w:pPr>
            <w:r>
              <w:rPr>
                <w:color w:val="auto"/>
                <w:highlight w:val="none"/>
              </w:rPr>
              <w:t>法人或者其他组织的营业执照等证明文件，自然人的身份证明</w:t>
            </w:r>
            <w:r>
              <w:rPr>
                <w:rFonts w:hint="eastAsia"/>
                <w:color w:val="auto"/>
                <w:highlight w:val="none"/>
              </w:rPr>
              <w:t>。</w:t>
            </w:r>
          </w:p>
          <w:p w14:paraId="1E4735B5">
            <w:pPr>
              <w:pStyle w:val="19"/>
              <w:jc w:val="both"/>
              <w:rPr>
                <w:color w:val="auto"/>
                <w:highlight w:val="none"/>
              </w:rPr>
            </w:pPr>
            <w:r>
              <w:rPr>
                <w:rFonts w:hint="eastAsia"/>
                <w:color w:val="auto"/>
                <w:highlight w:val="none"/>
              </w:rPr>
              <w:t>（1）企业应提供“营业执照”；</w:t>
            </w:r>
          </w:p>
          <w:p w14:paraId="5DE35EDE">
            <w:pPr>
              <w:pStyle w:val="19"/>
              <w:jc w:val="both"/>
              <w:rPr>
                <w:color w:val="auto"/>
                <w:highlight w:val="none"/>
              </w:rPr>
            </w:pPr>
            <w:r>
              <w:rPr>
                <w:rFonts w:hint="eastAsia"/>
                <w:color w:val="auto"/>
                <w:highlight w:val="none"/>
              </w:rPr>
              <w:t>（2）事业单位应提供“事业单位法人证书”；</w:t>
            </w:r>
          </w:p>
          <w:p w14:paraId="0E91961E">
            <w:pPr>
              <w:pStyle w:val="19"/>
              <w:jc w:val="both"/>
              <w:rPr>
                <w:color w:val="auto"/>
                <w:highlight w:val="none"/>
              </w:rPr>
            </w:pPr>
            <w:r>
              <w:rPr>
                <w:rFonts w:hint="eastAsia"/>
                <w:color w:val="auto"/>
                <w:highlight w:val="none"/>
              </w:rPr>
              <w:t>（3）非企业专业服务机构应提供执业许可证等证明文件；</w:t>
            </w:r>
          </w:p>
          <w:p w14:paraId="016B754C">
            <w:pPr>
              <w:pStyle w:val="19"/>
              <w:jc w:val="both"/>
              <w:rPr>
                <w:color w:val="auto"/>
                <w:highlight w:val="none"/>
              </w:rPr>
            </w:pPr>
            <w:r>
              <w:rPr>
                <w:rFonts w:hint="eastAsia"/>
                <w:color w:val="auto"/>
                <w:highlight w:val="none"/>
              </w:rPr>
              <w:t>（4）个体工商户应提供“个体工商户营业执照”；</w:t>
            </w:r>
          </w:p>
          <w:p w14:paraId="5138B22A">
            <w:pPr>
              <w:pStyle w:val="19"/>
              <w:jc w:val="both"/>
              <w:rPr>
                <w:color w:val="auto"/>
                <w:highlight w:val="none"/>
              </w:rPr>
            </w:pPr>
            <w:r>
              <w:rPr>
                <w:rFonts w:hint="eastAsia"/>
                <w:color w:val="auto"/>
                <w:highlight w:val="none"/>
              </w:rPr>
              <w:t>（5）自然人应提供自然人身份证明。</w:t>
            </w:r>
          </w:p>
        </w:tc>
      </w:tr>
      <w:tr w14:paraId="3AEC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954" w:hRule="atLeast"/>
          <w:jc w:val="center"/>
        </w:trPr>
        <w:tc>
          <w:tcPr>
            <w:tcW w:w="843" w:type="dxa"/>
            <w:vMerge w:val="continue"/>
            <w:noWrap w:val="0"/>
            <w:vAlign w:val="center"/>
          </w:tcPr>
          <w:p w14:paraId="24FC5507">
            <w:pPr>
              <w:pStyle w:val="19"/>
              <w:numPr>
                <w:ilvl w:val="0"/>
                <w:numId w:val="8"/>
              </w:numPr>
              <w:rPr>
                <w:color w:val="auto"/>
                <w:highlight w:val="none"/>
              </w:rPr>
            </w:pPr>
          </w:p>
        </w:tc>
        <w:tc>
          <w:tcPr>
            <w:tcW w:w="2666" w:type="dxa"/>
            <w:noWrap w:val="0"/>
            <w:vAlign w:val="center"/>
          </w:tcPr>
          <w:p w14:paraId="31BC8981">
            <w:pPr>
              <w:pStyle w:val="19"/>
              <w:jc w:val="both"/>
              <w:rPr>
                <w:color w:val="auto"/>
                <w:highlight w:val="none"/>
              </w:rPr>
            </w:pPr>
            <w:r>
              <w:rPr>
                <w:rFonts w:hint="eastAsia"/>
                <w:color w:val="auto"/>
                <w:highlight w:val="none"/>
              </w:rPr>
              <w:t>具有良好的商业信誉和健全的财务会计制度</w:t>
            </w:r>
          </w:p>
        </w:tc>
        <w:tc>
          <w:tcPr>
            <w:tcW w:w="5076" w:type="dxa"/>
            <w:noWrap w:val="0"/>
            <w:vAlign w:val="center"/>
          </w:tcPr>
          <w:p w14:paraId="412B7465">
            <w:pPr>
              <w:pStyle w:val="19"/>
              <w:jc w:val="both"/>
              <w:rPr>
                <w:color w:val="auto"/>
                <w:highlight w:val="none"/>
              </w:rPr>
            </w:pPr>
            <w:r>
              <w:rPr>
                <w:rFonts w:hint="eastAsia"/>
                <w:color w:val="auto"/>
                <w:highlight w:val="none"/>
              </w:rPr>
              <w:t>由投标人对以下内容提供书面承诺或声明，或提供相应证明材料。</w:t>
            </w:r>
          </w:p>
          <w:p w14:paraId="3FD4663F">
            <w:pPr>
              <w:pStyle w:val="19"/>
              <w:jc w:val="both"/>
              <w:rPr>
                <w:color w:val="auto"/>
                <w:highlight w:val="none"/>
              </w:rPr>
            </w:pPr>
            <w:r>
              <w:rPr>
                <w:rFonts w:hint="eastAsia"/>
                <w:color w:val="auto"/>
                <w:highlight w:val="none"/>
              </w:rPr>
              <w:t>（1）投标人是法人的，应具有</w:t>
            </w:r>
            <w:r>
              <w:rPr>
                <w:rFonts w:hint="eastAsia"/>
                <w:color w:val="auto"/>
                <w:highlight w:val="none"/>
                <w:u w:val="none"/>
                <w:lang w:val="en-US" w:eastAsia="zh-CN"/>
              </w:rPr>
              <w:t>2024</w:t>
            </w:r>
            <w:r>
              <w:rPr>
                <w:color w:val="auto"/>
                <w:highlight w:val="none"/>
                <w:u w:val="none"/>
              </w:rPr>
              <w:t>年度或</w:t>
            </w:r>
            <w:r>
              <w:rPr>
                <w:rFonts w:hint="eastAsia"/>
                <w:color w:val="auto"/>
                <w:highlight w:val="none"/>
                <w:u w:val="none"/>
                <w:lang w:val="en-US" w:eastAsia="zh-CN"/>
              </w:rPr>
              <w:t>2023</w:t>
            </w:r>
            <w:r>
              <w:rPr>
                <w:color w:val="auto"/>
                <w:highlight w:val="none"/>
                <w:u w:val="none"/>
              </w:rPr>
              <w:t>年</w:t>
            </w:r>
            <w:r>
              <w:rPr>
                <w:color w:val="auto"/>
                <w:highlight w:val="none"/>
              </w:rPr>
              <w:t>度经审计的财务报告，或其基本开户银行出具的资信证明。其他组织和自然人，没有经审计的财务报告，应具有银行出具的资信证明。</w:t>
            </w:r>
          </w:p>
          <w:p w14:paraId="526C53C7">
            <w:pPr>
              <w:pStyle w:val="19"/>
              <w:jc w:val="both"/>
              <w:rPr>
                <w:color w:val="auto"/>
                <w:highlight w:val="none"/>
              </w:rPr>
            </w:pPr>
            <w:r>
              <w:rPr>
                <w:rFonts w:hint="eastAsia"/>
                <w:color w:val="auto"/>
                <w:highlight w:val="none"/>
              </w:rPr>
              <w:t>（2）有专业担保机构对投标人进行资信审查后出具投标担保函的，可以不用具备经审计的财务报告和银行资信证明文件。</w:t>
            </w:r>
          </w:p>
        </w:tc>
      </w:tr>
      <w:tr w14:paraId="62BE9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53" w:hRule="atLeast"/>
          <w:jc w:val="center"/>
        </w:trPr>
        <w:tc>
          <w:tcPr>
            <w:tcW w:w="843" w:type="dxa"/>
            <w:vMerge w:val="continue"/>
            <w:noWrap w:val="0"/>
            <w:vAlign w:val="center"/>
          </w:tcPr>
          <w:p w14:paraId="14635A1D">
            <w:pPr>
              <w:pStyle w:val="19"/>
              <w:numPr>
                <w:ilvl w:val="0"/>
                <w:numId w:val="8"/>
              </w:numPr>
              <w:rPr>
                <w:color w:val="auto"/>
                <w:highlight w:val="none"/>
              </w:rPr>
            </w:pPr>
          </w:p>
        </w:tc>
        <w:tc>
          <w:tcPr>
            <w:tcW w:w="2666" w:type="dxa"/>
            <w:noWrap w:val="0"/>
            <w:vAlign w:val="center"/>
          </w:tcPr>
          <w:p w14:paraId="26FFB1EC">
            <w:pPr>
              <w:pStyle w:val="19"/>
              <w:jc w:val="both"/>
              <w:rPr>
                <w:color w:val="auto"/>
                <w:highlight w:val="none"/>
              </w:rPr>
            </w:pPr>
            <w:r>
              <w:rPr>
                <w:rFonts w:hint="eastAsia"/>
                <w:color w:val="auto"/>
                <w:highlight w:val="none"/>
              </w:rPr>
              <w:t>具有履行合同所必需的设备和专业技术能力</w:t>
            </w:r>
          </w:p>
        </w:tc>
        <w:tc>
          <w:tcPr>
            <w:tcW w:w="5076" w:type="dxa"/>
            <w:noWrap w:val="0"/>
            <w:vAlign w:val="center"/>
          </w:tcPr>
          <w:p w14:paraId="59F20D4D">
            <w:pPr>
              <w:pStyle w:val="19"/>
              <w:jc w:val="both"/>
              <w:rPr>
                <w:color w:val="auto"/>
                <w:highlight w:val="none"/>
              </w:rPr>
            </w:pPr>
            <w:r>
              <w:rPr>
                <w:rFonts w:hint="eastAsia"/>
                <w:color w:val="auto"/>
                <w:highlight w:val="none"/>
              </w:rPr>
              <w:t>由投标人提供书面承诺或声明，或提供相应证明材料。</w:t>
            </w:r>
          </w:p>
        </w:tc>
      </w:tr>
      <w:tr w14:paraId="31C7E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843" w:type="dxa"/>
            <w:vMerge w:val="continue"/>
            <w:noWrap w:val="0"/>
            <w:vAlign w:val="center"/>
          </w:tcPr>
          <w:p w14:paraId="13BDF538">
            <w:pPr>
              <w:pStyle w:val="19"/>
              <w:numPr>
                <w:ilvl w:val="0"/>
                <w:numId w:val="8"/>
              </w:numPr>
              <w:rPr>
                <w:color w:val="auto"/>
                <w:highlight w:val="none"/>
              </w:rPr>
            </w:pPr>
          </w:p>
        </w:tc>
        <w:tc>
          <w:tcPr>
            <w:tcW w:w="2666" w:type="dxa"/>
            <w:noWrap w:val="0"/>
            <w:vAlign w:val="center"/>
          </w:tcPr>
          <w:p w14:paraId="2F1E6DCB">
            <w:pPr>
              <w:pStyle w:val="19"/>
              <w:jc w:val="both"/>
              <w:rPr>
                <w:color w:val="auto"/>
                <w:highlight w:val="none"/>
              </w:rPr>
            </w:pPr>
            <w:r>
              <w:rPr>
                <w:rFonts w:hint="eastAsia"/>
                <w:color w:val="auto"/>
                <w:highlight w:val="none"/>
              </w:rPr>
              <w:t>有依法缴纳税收和社会保障资金的良好记录</w:t>
            </w:r>
          </w:p>
        </w:tc>
        <w:tc>
          <w:tcPr>
            <w:tcW w:w="5076" w:type="dxa"/>
            <w:noWrap w:val="0"/>
            <w:vAlign w:val="center"/>
          </w:tcPr>
          <w:p w14:paraId="276370A0">
            <w:pPr>
              <w:pStyle w:val="19"/>
              <w:jc w:val="both"/>
              <w:rPr>
                <w:color w:val="auto"/>
                <w:highlight w:val="none"/>
              </w:rPr>
            </w:pPr>
            <w:r>
              <w:rPr>
                <w:rFonts w:hint="eastAsia"/>
                <w:color w:val="auto"/>
                <w:highlight w:val="none"/>
              </w:rPr>
              <w:t>由投标人对以下内容提供书面承诺或声明，或提供相应证明材料。</w:t>
            </w:r>
          </w:p>
          <w:p w14:paraId="372ECEE0">
            <w:pPr>
              <w:pStyle w:val="19"/>
              <w:jc w:val="both"/>
              <w:rPr>
                <w:color w:val="auto"/>
                <w:highlight w:val="none"/>
              </w:rPr>
            </w:pPr>
            <w:r>
              <w:rPr>
                <w:rFonts w:hint="eastAsia"/>
                <w:color w:val="auto"/>
                <w:highlight w:val="none"/>
              </w:rPr>
              <w:t>（1）投标人依法缴纳税收：本项目公告发布时间前</w:t>
            </w:r>
            <w:r>
              <w:rPr>
                <w:color w:val="auto"/>
                <w:highlight w:val="none"/>
              </w:rPr>
              <w:t>1</w:t>
            </w:r>
            <w:r>
              <w:rPr>
                <w:rFonts w:hint="eastAsia"/>
                <w:color w:val="auto"/>
                <w:highlight w:val="none"/>
                <w:lang w:val="en-US" w:eastAsia="zh-CN"/>
              </w:rPr>
              <w:t>8</w:t>
            </w:r>
            <w:r>
              <w:rPr>
                <w:color w:val="auto"/>
                <w:highlight w:val="none"/>
              </w:rPr>
              <w:t>个月内（至少有</w:t>
            </w:r>
            <w:r>
              <w:rPr>
                <w:rFonts w:hint="eastAsia"/>
                <w:color w:val="auto"/>
                <w:highlight w:val="none"/>
                <w:lang w:val="en-US" w:eastAsia="zh-CN"/>
              </w:rPr>
              <w:t>3</w:t>
            </w:r>
            <w:r>
              <w:rPr>
                <w:color w:val="auto"/>
                <w:highlight w:val="none"/>
              </w:rPr>
              <w:t>个月）缴纳税收的凭据（完税证、缴款书、印花税票、银行代扣（代缴）转账凭证等均可）；</w:t>
            </w:r>
          </w:p>
          <w:p w14:paraId="0E838276">
            <w:pPr>
              <w:pStyle w:val="19"/>
              <w:jc w:val="both"/>
              <w:rPr>
                <w:color w:val="auto"/>
                <w:highlight w:val="none"/>
              </w:rPr>
            </w:pPr>
            <w:r>
              <w:rPr>
                <w:rFonts w:hint="eastAsia"/>
                <w:color w:val="auto"/>
                <w:highlight w:val="none"/>
              </w:rPr>
              <w:t>（2）投标人依法缴纳社会保障资金：本项目公告发布时间前</w:t>
            </w:r>
            <w:r>
              <w:rPr>
                <w:color w:val="auto"/>
                <w:highlight w:val="none"/>
              </w:rPr>
              <w:t>1</w:t>
            </w:r>
            <w:r>
              <w:rPr>
                <w:rFonts w:hint="eastAsia"/>
                <w:color w:val="auto"/>
                <w:highlight w:val="none"/>
                <w:lang w:val="en-US" w:eastAsia="zh-CN"/>
              </w:rPr>
              <w:t>8</w:t>
            </w:r>
            <w:r>
              <w:rPr>
                <w:color w:val="auto"/>
                <w:highlight w:val="none"/>
              </w:rPr>
              <w:t>个月内（至少有</w:t>
            </w:r>
            <w:r>
              <w:rPr>
                <w:rFonts w:hint="eastAsia"/>
                <w:color w:val="auto"/>
                <w:highlight w:val="none"/>
                <w:lang w:val="en-US" w:eastAsia="zh-CN"/>
              </w:rPr>
              <w:t>3</w:t>
            </w:r>
            <w:r>
              <w:rPr>
                <w:color w:val="auto"/>
                <w:highlight w:val="none"/>
              </w:rPr>
              <w:t>个月）缴纳社会保险的凭据（专用收据或社会保险交纳清单）；</w:t>
            </w:r>
          </w:p>
          <w:p w14:paraId="280E8270">
            <w:pPr>
              <w:pStyle w:val="19"/>
              <w:jc w:val="both"/>
              <w:rPr>
                <w:color w:val="auto"/>
                <w:highlight w:val="none"/>
              </w:rPr>
            </w:pPr>
            <w:r>
              <w:rPr>
                <w:rFonts w:hint="eastAsia"/>
                <w:color w:val="auto"/>
                <w:highlight w:val="none"/>
              </w:rPr>
              <w:t>（3）投标人为其他组织或自然人的，也应满足以上要求；</w:t>
            </w:r>
          </w:p>
          <w:p w14:paraId="06B3B120">
            <w:pPr>
              <w:pStyle w:val="19"/>
              <w:jc w:val="both"/>
              <w:rPr>
                <w:color w:val="auto"/>
                <w:highlight w:val="none"/>
              </w:rPr>
            </w:pPr>
            <w:r>
              <w:rPr>
                <w:rFonts w:hint="eastAsia"/>
                <w:color w:val="auto"/>
                <w:highlight w:val="none"/>
              </w:rPr>
              <w:t>（4）递交投标文件截止时间的当月成立但因税务机关原因导致其尚未依法缴纳税收的投标人，提供将依法缴纳税收承诺书原件（格式自拟），该承诺书视同税收缴纳凭据；</w:t>
            </w:r>
          </w:p>
          <w:p w14:paraId="58A20613">
            <w:pPr>
              <w:pStyle w:val="19"/>
              <w:jc w:val="both"/>
              <w:rPr>
                <w:color w:val="auto"/>
                <w:highlight w:val="none"/>
              </w:rPr>
            </w:pPr>
            <w:r>
              <w:rPr>
                <w:rFonts w:hint="eastAsia"/>
                <w:color w:val="auto"/>
                <w:highlight w:val="none"/>
              </w:rPr>
              <w:t>（5）递交投标文件截止时间的当月成立但因社会保障资金管理机关原因导致其尚未依法缴纳社会保障资金的投标人，提供将依法缴纳社会保障资金承诺书原件（格式自拟），该承诺书视同社会保险凭据；</w:t>
            </w:r>
          </w:p>
          <w:p w14:paraId="02B7BCF6">
            <w:pPr>
              <w:pStyle w:val="19"/>
              <w:jc w:val="both"/>
              <w:rPr>
                <w:color w:val="auto"/>
                <w:highlight w:val="none"/>
              </w:rPr>
            </w:pPr>
            <w:r>
              <w:rPr>
                <w:rFonts w:hint="eastAsia"/>
                <w:color w:val="auto"/>
                <w:highlight w:val="none"/>
              </w:rPr>
              <w:t>（6）依法免税或不需要缴纳社会保障资金的投标人，具有相应文件证明其依法免税或不需要交纳社会保障资金。</w:t>
            </w:r>
          </w:p>
        </w:tc>
      </w:tr>
      <w:tr w14:paraId="5E7D0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843" w:type="dxa"/>
            <w:vMerge w:val="continue"/>
            <w:noWrap w:val="0"/>
            <w:vAlign w:val="center"/>
          </w:tcPr>
          <w:p w14:paraId="23B43340">
            <w:pPr>
              <w:pStyle w:val="19"/>
              <w:numPr>
                <w:ilvl w:val="0"/>
                <w:numId w:val="8"/>
              </w:numPr>
              <w:rPr>
                <w:color w:val="auto"/>
                <w:highlight w:val="none"/>
              </w:rPr>
            </w:pPr>
          </w:p>
        </w:tc>
        <w:tc>
          <w:tcPr>
            <w:tcW w:w="2666" w:type="dxa"/>
            <w:noWrap w:val="0"/>
            <w:vAlign w:val="center"/>
          </w:tcPr>
          <w:p w14:paraId="10C16D40">
            <w:pPr>
              <w:pStyle w:val="19"/>
              <w:jc w:val="both"/>
              <w:rPr>
                <w:color w:val="auto"/>
                <w:highlight w:val="none"/>
              </w:rPr>
            </w:pPr>
            <w:r>
              <w:rPr>
                <w:rFonts w:hint="eastAsia"/>
                <w:color w:val="auto"/>
                <w:highlight w:val="none"/>
              </w:rPr>
              <w:t>参加政府采购活动前三年内，在经营活动中没有重大违法记录</w:t>
            </w:r>
          </w:p>
        </w:tc>
        <w:tc>
          <w:tcPr>
            <w:tcW w:w="5076" w:type="dxa"/>
            <w:noWrap w:val="0"/>
            <w:vAlign w:val="center"/>
          </w:tcPr>
          <w:p w14:paraId="39CA4A68">
            <w:pPr>
              <w:pStyle w:val="19"/>
              <w:jc w:val="both"/>
              <w:rPr>
                <w:color w:val="auto"/>
                <w:highlight w:val="none"/>
              </w:rPr>
            </w:pPr>
            <w:r>
              <w:rPr>
                <w:rFonts w:hint="eastAsia"/>
                <w:bCs/>
                <w:color w:val="auto"/>
                <w:highlight w:val="none"/>
              </w:rPr>
              <w:t>由投标人提供书面承诺或声明</w:t>
            </w:r>
            <w:r>
              <w:rPr>
                <w:color w:val="auto"/>
                <w:highlight w:val="none"/>
              </w:rPr>
              <w:t>，或提供相应证明材料。</w:t>
            </w:r>
          </w:p>
        </w:tc>
      </w:tr>
      <w:tr w14:paraId="78A87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843" w:type="dxa"/>
            <w:vMerge w:val="continue"/>
            <w:noWrap w:val="0"/>
            <w:vAlign w:val="center"/>
          </w:tcPr>
          <w:p w14:paraId="08263FEE">
            <w:pPr>
              <w:pStyle w:val="19"/>
              <w:numPr>
                <w:ilvl w:val="0"/>
                <w:numId w:val="8"/>
              </w:numPr>
              <w:rPr>
                <w:color w:val="auto"/>
                <w:highlight w:val="none"/>
              </w:rPr>
            </w:pPr>
          </w:p>
        </w:tc>
        <w:tc>
          <w:tcPr>
            <w:tcW w:w="2666" w:type="dxa"/>
            <w:noWrap w:val="0"/>
            <w:vAlign w:val="center"/>
          </w:tcPr>
          <w:p w14:paraId="174FFFA7">
            <w:pPr>
              <w:pStyle w:val="19"/>
              <w:jc w:val="both"/>
              <w:rPr>
                <w:color w:val="auto"/>
                <w:highlight w:val="none"/>
              </w:rPr>
            </w:pPr>
            <w:r>
              <w:rPr>
                <w:rFonts w:hint="eastAsia"/>
                <w:color w:val="auto"/>
                <w:highlight w:val="none"/>
              </w:rPr>
              <w:t>法律、行政法规规定的其他条件</w:t>
            </w:r>
          </w:p>
        </w:tc>
        <w:tc>
          <w:tcPr>
            <w:tcW w:w="5076" w:type="dxa"/>
            <w:noWrap w:val="0"/>
            <w:vAlign w:val="center"/>
          </w:tcPr>
          <w:p w14:paraId="7A6F4D77">
            <w:pPr>
              <w:pStyle w:val="19"/>
              <w:jc w:val="both"/>
              <w:rPr>
                <w:color w:val="auto"/>
                <w:highlight w:val="none"/>
              </w:rPr>
            </w:pPr>
            <w:r>
              <w:rPr>
                <w:rFonts w:hint="eastAsia"/>
                <w:bCs/>
                <w:color w:val="auto"/>
                <w:highlight w:val="none"/>
              </w:rPr>
              <w:t>由投标人提供书面承诺或声明</w:t>
            </w:r>
            <w:r>
              <w:rPr>
                <w:color w:val="auto"/>
                <w:highlight w:val="none"/>
              </w:rPr>
              <w:t>，或提供相应证明材料。</w:t>
            </w:r>
          </w:p>
        </w:tc>
      </w:tr>
      <w:tr w14:paraId="0F41E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04" w:hRule="atLeast"/>
          <w:jc w:val="center"/>
        </w:trPr>
        <w:tc>
          <w:tcPr>
            <w:tcW w:w="843" w:type="dxa"/>
            <w:noWrap w:val="0"/>
            <w:vAlign w:val="center"/>
          </w:tcPr>
          <w:p w14:paraId="77CDE81C">
            <w:pPr>
              <w:pStyle w:val="19"/>
              <w:numPr>
                <w:ilvl w:val="0"/>
                <w:numId w:val="8"/>
              </w:numPr>
              <w:rPr>
                <w:color w:val="auto"/>
                <w:highlight w:val="none"/>
              </w:rPr>
            </w:pPr>
          </w:p>
        </w:tc>
        <w:tc>
          <w:tcPr>
            <w:tcW w:w="2666" w:type="dxa"/>
            <w:noWrap w:val="0"/>
            <w:vAlign w:val="center"/>
          </w:tcPr>
          <w:p w14:paraId="675E1EEC">
            <w:pPr>
              <w:pStyle w:val="19"/>
              <w:jc w:val="both"/>
              <w:rPr>
                <w:color w:val="auto"/>
                <w:highlight w:val="none"/>
              </w:rPr>
            </w:pPr>
            <w:r>
              <w:rPr>
                <w:rFonts w:hint="eastAsia"/>
                <w:color w:val="auto"/>
                <w:highlight w:val="none"/>
              </w:rPr>
              <w:t>单位负责人为同一人或者存在直接控股、管理关系的不同投标人，不得参加本项目同一合同项下的政府采购活动</w:t>
            </w:r>
          </w:p>
        </w:tc>
        <w:tc>
          <w:tcPr>
            <w:tcW w:w="5076" w:type="dxa"/>
            <w:noWrap w:val="0"/>
            <w:vAlign w:val="center"/>
          </w:tcPr>
          <w:p w14:paraId="673737E1">
            <w:pPr>
              <w:pStyle w:val="19"/>
              <w:jc w:val="both"/>
              <w:rPr>
                <w:color w:val="auto"/>
                <w:highlight w:val="none"/>
              </w:rPr>
            </w:pPr>
            <w:r>
              <w:rPr>
                <w:rFonts w:hint="eastAsia"/>
                <w:color w:val="auto"/>
                <w:highlight w:val="none"/>
              </w:rPr>
              <w:t>由投标人在《投标函》中声明</w:t>
            </w:r>
          </w:p>
        </w:tc>
      </w:tr>
      <w:tr w14:paraId="24223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21" w:hRule="atLeast"/>
          <w:jc w:val="center"/>
        </w:trPr>
        <w:tc>
          <w:tcPr>
            <w:tcW w:w="843" w:type="dxa"/>
            <w:noWrap w:val="0"/>
            <w:vAlign w:val="center"/>
          </w:tcPr>
          <w:p w14:paraId="18FAAF3D">
            <w:pPr>
              <w:pStyle w:val="19"/>
              <w:numPr>
                <w:ilvl w:val="0"/>
                <w:numId w:val="8"/>
              </w:numPr>
              <w:rPr>
                <w:color w:val="auto"/>
                <w:highlight w:val="none"/>
              </w:rPr>
            </w:pPr>
          </w:p>
        </w:tc>
        <w:tc>
          <w:tcPr>
            <w:tcW w:w="2666" w:type="dxa"/>
            <w:noWrap w:val="0"/>
            <w:vAlign w:val="center"/>
          </w:tcPr>
          <w:p w14:paraId="7F0AF3F1">
            <w:pPr>
              <w:pStyle w:val="19"/>
              <w:jc w:val="both"/>
              <w:rPr>
                <w:color w:val="auto"/>
                <w:highlight w:val="none"/>
              </w:rPr>
            </w:pPr>
            <w:r>
              <w:rPr>
                <w:rFonts w:hint="eastAsia"/>
                <w:color w:val="auto"/>
                <w:highlight w:val="none"/>
              </w:rPr>
              <w:t>为本采购项目提供整体设计、规范编制或者项目管理、监理、检测等服务的，不得再参加本项目的其他招标采购活动。</w:t>
            </w:r>
          </w:p>
        </w:tc>
        <w:tc>
          <w:tcPr>
            <w:tcW w:w="5076" w:type="dxa"/>
            <w:noWrap w:val="0"/>
            <w:vAlign w:val="center"/>
          </w:tcPr>
          <w:p w14:paraId="13ECAEC0">
            <w:pPr>
              <w:pStyle w:val="19"/>
              <w:jc w:val="both"/>
              <w:rPr>
                <w:color w:val="auto"/>
                <w:highlight w:val="none"/>
              </w:rPr>
            </w:pPr>
            <w:r>
              <w:rPr>
                <w:rFonts w:hint="eastAsia"/>
                <w:color w:val="auto"/>
                <w:highlight w:val="none"/>
              </w:rPr>
              <w:t>由投标人在《投标函》中声明</w:t>
            </w:r>
          </w:p>
        </w:tc>
      </w:tr>
      <w:tr w14:paraId="15C30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03" w:hRule="atLeast"/>
          <w:jc w:val="center"/>
        </w:trPr>
        <w:tc>
          <w:tcPr>
            <w:tcW w:w="843" w:type="dxa"/>
            <w:noWrap w:val="0"/>
            <w:vAlign w:val="center"/>
          </w:tcPr>
          <w:p w14:paraId="0652EB2A">
            <w:pPr>
              <w:pStyle w:val="19"/>
              <w:numPr>
                <w:ilvl w:val="0"/>
                <w:numId w:val="8"/>
              </w:numPr>
              <w:rPr>
                <w:color w:val="auto"/>
                <w:highlight w:val="none"/>
              </w:rPr>
            </w:pPr>
          </w:p>
        </w:tc>
        <w:tc>
          <w:tcPr>
            <w:tcW w:w="2666" w:type="dxa"/>
            <w:noWrap w:val="0"/>
            <w:vAlign w:val="center"/>
          </w:tcPr>
          <w:p w14:paraId="1343BD7D">
            <w:pPr>
              <w:pStyle w:val="19"/>
              <w:jc w:val="both"/>
              <w:rPr>
                <w:color w:val="auto"/>
                <w:highlight w:val="none"/>
              </w:rPr>
            </w:pPr>
            <w:r>
              <w:rPr>
                <w:rFonts w:hint="eastAsia"/>
                <w:color w:val="auto"/>
                <w:highlight w:val="none"/>
              </w:rPr>
              <w:t>未被列入失信被执行人、“重大税收违法失信主体”，未被列入政府采购严重违法失信行为记录名单。</w:t>
            </w:r>
          </w:p>
        </w:tc>
        <w:tc>
          <w:tcPr>
            <w:tcW w:w="5076" w:type="dxa"/>
            <w:noWrap w:val="0"/>
            <w:vAlign w:val="center"/>
          </w:tcPr>
          <w:p w14:paraId="117133F3">
            <w:pPr>
              <w:pStyle w:val="19"/>
              <w:jc w:val="both"/>
              <w:rPr>
                <w:rFonts w:hint="eastAsia" w:eastAsia="宋体"/>
                <w:color w:val="auto"/>
                <w:highlight w:val="none"/>
                <w:lang w:val="en-US" w:eastAsia="zh-CN"/>
              </w:rPr>
            </w:pPr>
            <w:r>
              <w:rPr>
                <w:rFonts w:hint="eastAsia"/>
                <w:color w:val="auto"/>
                <w:highlight w:val="none"/>
              </w:rPr>
              <w:t>供应商应出具参加政府采购活动前3年内在经营活动中无重大违法记录的声明，且在“信用中国”网站（www.creditchina.gov.cn）、中国政府采购网（www.ccgp.gov.cn）查询无不良记录（各投标人自行通过“信用中国”和“中国政府采购网”网站查询，提供查询结果“截图”</w:t>
            </w:r>
            <w:r>
              <w:rPr>
                <w:rFonts w:hint="eastAsia"/>
                <w:color w:val="auto"/>
                <w:highlight w:val="none"/>
                <w:lang w:eastAsia="zh-CN"/>
              </w:rPr>
              <w:t>。</w:t>
            </w:r>
          </w:p>
        </w:tc>
      </w:tr>
      <w:tr w14:paraId="3B89F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792" w:hRule="atLeast"/>
          <w:jc w:val="center"/>
        </w:trPr>
        <w:tc>
          <w:tcPr>
            <w:tcW w:w="843" w:type="dxa"/>
            <w:noWrap w:val="0"/>
            <w:vAlign w:val="center"/>
          </w:tcPr>
          <w:p w14:paraId="6DB02687">
            <w:pPr>
              <w:pStyle w:val="19"/>
              <w:numPr>
                <w:ilvl w:val="0"/>
                <w:numId w:val="8"/>
              </w:numPr>
              <w:rPr>
                <w:color w:val="auto"/>
                <w:highlight w:val="none"/>
              </w:rPr>
            </w:pPr>
          </w:p>
        </w:tc>
        <w:tc>
          <w:tcPr>
            <w:tcW w:w="2666" w:type="dxa"/>
            <w:noWrap w:val="0"/>
            <w:vAlign w:val="top"/>
          </w:tcPr>
          <w:p w14:paraId="08B02F16">
            <w:pPr>
              <w:pStyle w:val="19"/>
              <w:jc w:val="both"/>
              <w:rPr>
                <w:color w:val="auto"/>
                <w:highlight w:val="none"/>
              </w:rPr>
            </w:pPr>
            <w:r>
              <w:rPr>
                <w:rFonts w:hint="eastAsia"/>
                <w:color w:val="auto"/>
                <w:highlight w:val="none"/>
              </w:rPr>
              <w:t>落实政府采购政策需满足的资格要求</w:t>
            </w:r>
          </w:p>
        </w:tc>
        <w:tc>
          <w:tcPr>
            <w:tcW w:w="5076" w:type="dxa"/>
            <w:noWrap w:val="0"/>
            <w:vAlign w:val="center"/>
          </w:tcPr>
          <w:p w14:paraId="249F8E49">
            <w:pPr>
              <w:pStyle w:val="19"/>
              <w:jc w:val="both"/>
              <w:rPr>
                <w:color w:val="auto"/>
                <w:highlight w:val="none"/>
              </w:rPr>
            </w:pPr>
            <w:r>
              <w:rPr>
                <w:rFonts w:hint="eastAsia"/>
                <w:color w:val="auto"/>
                <w:highlight w:val="none"/>
              </w:rPr>
              <w:sym w:font="Wingdings" w:char="00FE"/>
            </w:r>
            <w:r>
              <w:rPr>
                <w:rFonts w:hint="eastAsia"/>
                <w:color w:val="auto"/>
                <w:highlight w:val="none"/>
              </w:rPr>
              <w:t>支持中小企业发展资格要求：提供《中小企业声明函》，本项目投标人属于监狱企业或者残疾人福利性单位的，同时提供监狱企业证明材料或者《残疾人福利性单位声明函》；</w:t>
            </w:r>
          </w:p>
          <w:p w14:paraId="6146EF6C">
            <w:pPr>
              <w:pStyle w:val="19"/>
              <w:jc w:val="both"/>
              <w:rPr>
                <w:color w:val="auto"/>
                <w:highlight w:val="none"/>
              </w:rPr>
            </w:pPr>
            <w:r>
              <w:rPr>
                <w:rFonts w:hint="eastAsia"/>
                <w:color w:val="auto"/>
                <w:highlight w:val="none"/>
              </w:rPr>
              <w:sym w:font="Wingdings" w:char="00A8"/>
            </w:r>
            <w:r>
              <w:rPr>
                <w:rFonts w:hint="eastAsia"/>
                <w:color w:val="auto"/>
                <w:highlight w:val="none"/>
              </w:rPr>
              <w:t xml:space="preserve">其他政府采购政策需满足的资格要求： </w:t>
            </w:r>
            <w:r>
              <w:rPr>
                <w:color w:val="auto"/>
                <w:highlight w:val="none"/>
              </w:rPr>
              <w:t xml:space="preserve">               </w:t>
            </w:r>
            <w:r>
              <w:rPr>
                <w:rFonts w:hint="eastAsia"/>
                <w:color w:val="auto"/>
                <w:highlight w:val="none"/>
              </w:rPr>
              <w:t>。</w:t>
            </w:r>
          </w:p>
        </w:tc>
      </w:tr>
      <w:tr w14:paraId="1197A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99" w:hRule="atLeast"/>
          <w:jc w:val="center"/>
        </w:trPr>
        <w:tc>
          <w:tcPr>
            <w:tcW w:w="843" w:type="dxa"/>
            <w:noWrap w:val="0"/>
            <w:vAlign w:val="center"/>
          </w:tcPr>
          <w:p w14:paraId="5DC894D5">
            <w:pPr>
              <w:pStyle w:val="19"/>
              <w:numPr>
                <w:ilvl w:val="0"/>
                <w:numId w:val="8"/>
              </w:numPr>
              <w:rPr>
                <w:color w:val="auto"/>
                <w:highlight w:val="none"/>
              </w:rPr>
            </w:pPr>
          </w:p>
        </w:tc>
        <w:tc>
          <w:tcPr>
            <w:tcW w:w="2666" w:type="dxa"/>
            <w:noWrap w:val="0"/>
            <w:vAlign w:val="center"/>
          </w:tcPr>
          <w:p w14:paraId="68A313C5">
            <w:pPr>
              <w:pStyle w:val="19"/>
              <w:jc w:val="both"/>
              <w:rPr>
                <w:rFonts w:hint="eastAsia"/>
                <w:bCs/>
                <w:color w:val="auto"/>
                <w:highlight w:val="none"/>
              </w:rPr>
            </w:pPr>
            <w:r>
              <w:rPr>
                <w:rFonts w:hint="eastAsia"/>
                <w:bCs/>
                <w:color w:val="auto"/>
                <w:highlight w:val="none"/>
              </w:rPr>
              <w:t>本项目的特定资格要求</w:t>
            </w:r>
          </w:p>
        </w:tc>
        <w:tc>
          <w:tcPr>
            <w:tcW w:w="5076" w:type="dxa"/>
            <w:noWrap w:val="0"/>
            <w:vAlign w:val="center"/>
          </w:tcPr>
          <w:p w14:paraId="69DC128F">
            <w:pPr>
              <w:pStyle w:val="19"/>
              <w:jc w:val="both"/>
              <w:rPr>
                <w:rFonts w:hint="eastAsia"/>
                <w:bCs/>
                <w:color w:val="auto"/>
                <w:highlight w:val="none"/>
              </w:rPr>
            </w:pPr>
            <w:r>
              <w:rPr>
                <w:rFonts w:hint="eastAsia"/>
                <w:bCs/>
                <w:color w:val="auto"/>
                <w:highlight w:val="none"/>
              </w:rPr>
              <w:t>供应商需具备有效的工商营业执照</w:t>
            </w:r>
          </w:p>
        </w:tc>
      </w:tr>
    </w:tbl>
    <w:p w14:paraId="32AF8776"/>
    <w:p w14:paraId="30130BDD">
      <w:pPr>
        <w:rPr>
          <w:b/>
          <w:bCs/>
        </w:rPr>
      </w:pPr>
      <w:r>
        <w:rPr>
          <w:rFonts w:hint="eastAsia"/>
          <w:b/>
          <w:bCs/>
        </w:rPr>
        <w:t>备注：</w:t>
      </w:r>
    </w:p>
    <w:p w14:paraId="6FA5F007">
      <w:pPr>
        <w:pStyle w:val="18"/>
        <w:numPr>
          <w:ilvl w:val="0"/>
          <w:numId w:val="9"/>
        </w:numPr>
      </w:pPr>
      <w:r>
        <w:t>资格证明文件应为原件的扫描件或复印件，投标文件中须编入清晰的扫描件或复印件。所有证明材料须清晰可辨认，如因证明材料模糊无法辨认，缺页、漏页导致无法进行评审认定的责任由投标人自负。</w:t>
      </w:r>
    </w:p>
    <w:p w14:paraId="23562E4D">
      <w:pPr>
        <w:pStyle w:val="18"/>
        <w:numPr>
          <w:ilvl w:val="0"/>
          <w:numId w:val="9"/>
        </w:numPr>
        <w:outlineLvl w:val="2"/>
      </w:pPr>
      <w:bookmarkStart w:id="229" w:name="_Toc847"/>
      <w:r>
        <w:rPr>
          <w:rFonts w:hint="eastAsia"/>
          <w:lang w:val="zh-CN"/>
        </w:rPr>
        <w:t>信用信息核</w:t>
      </w:r>
      <w:r>
        <w:rPr>
          <w:rFonts w:hint="eastAsia"/>
        </w:rPr>
        <w:t>查</w:t>
      </w:r>
      <w:bookmarkEnd w:id="229"/>
    </w:p>
    <w:p w14:paraId="749199C7">
      <w:pPr>
        <w:pStyle w:val="17"/>
      </w:pPr>
      <w:r>
        <w:rPr>
          <w:rFonts w:hint="eastAsia"/>
        </w:rPr>
        <w:t>2</w:t>
      </w:r>
      <w:r>
        <w:t>.1</w:t>
      </w:r>
      <w:r>
        <w:rPr>
          <w:rFonts w:hint="eastAsia"/>
        </w:rPr>
        <w:t>资格审查当日应当核查投标人信用记录，投标人被列入失信被执行人、重大税收违法案件当事人名单、政府采购严重违法失信行为记录名单的，采购代理机构拒绝其参与政府采购活动。</w:t>
      </w:r>
    </w:p>
    <w:p w14:paraId="061AFAFE">
      <w:pPr>
        <w:pStyle w:val="17"/>
      </w:pPr>
      <w:r>
        <w:rPr>
          <w:rFonts w:hint="eastAsia"/>
        </w:rPr>
        <w:t>2</w:t>
      </w:r>
      <w:r>
        <w:t>.2</w:t>
      </w:r>
      <w:r>
        <w:rPr>
          <w:rFonts w:hint="eastAsia"/>
        </w:rPr>
        <w:t>以联合体形式投标的，应当核查联合体所有成员和信用记录，联合体成员存在不良信用记录的，视同联合体存在不良信用信息。</w:t>
      </w:r>
    </w:p>
    <w:p w14:paraId="5A8449F7">
      <w:pPr>
        <w:pStyle w:val="18"/>
        <w:numPr>
          <w:ilvl w:val="0"/>
          <w:numId w:val="9"/>
        </w:numPr>
      </w:pPr>
      <w:r>
        <w:t>对于投标文件中有任意一条不满足上表要求的将导致其</w:t>
      </w:r>
      <w:r>
        <w:rPr>
          <w:b/>
          <w:bCs/>
        </w:rPr>
        <w:t>投标无效</w:t>
      </w:r>
      <w:r>
        <w:t>，不进入下一项评审。</w:t>
      </w:r>
      <w:bookmarkEnd w:id="220"/>
      <w:bookmarkEnd w:id="221"/>
      <w:bookmarkEnd w:id="222"/>
      <w:bookmarkEnd w:id="223"/>
      <w:bookmarkEnd w:id="224"/>
      <w:bookmarkEnd w:id="225"/>
      <w:bookmarkEnd w:id="226"/>
      <w:bookmarkEnd w:id="227"/>
    </w:p>
    <w:p w14:paraId="0C61FF07">
      <w:pPr>
        <w:pStyle w:val="19"/>
      </w:pPr>
      <w:r>
        <w:br w:type="page"/>
      </w:r>
    </w:p>
    <w:p w14:paraId="08133FE6">
      <w:pPr>
        <w:pStyle w:val="3"/>
        <w:numPr>
          <w:ilvl w:val="0"/>
          <w:numId w:val="0"/>
        </w:numPr>
        <w:ind w:left="420" w:leftChars="0" w:hanging="420" w:firstLineChars="0"/>
      </w:pPr>
      <w:bookmarkStart w:id="230" w:name="_Toc24152"/>
      <w:bookmarkStart w:id="231" w:name="_Toc20342"/>
      <w:bookmarkStart w:id="232" w:name="_Toc4042"/>
      <w:bookmarkStart w:id="233" w:name="_Toc766"/>
      <w:bookmarkStart w:id="234" w:name="_Toc14701"/>
      <w:bookmarkStart w:id="235" w:name="_Toc3739"/>
      <w:bookmarkStart w:id="236" w:name="_Toc30305"/>
      <w:bookmarkStart w:id="237" w:name="_Toc10023"/>
      <w:bookmarkStart w:id="238" w:name="_Toc5207"/>
      <w:bookmarkStart w:id="239" w:name="_Toc30710"/>
      <w:bookmarkStart w:id="240" w:name="_Toc14140"/>
      <w:bookmarkStart w:id="241" w:name="_Toc163492899"/>
      <w:bookmarkStart w:id="242" w:name="_Toc3306"/>
      <w:bookmarkStart w:id="243" w:name="_Toc4401"/>
      <w:r>
        <w:rPr>
          <w:rFonts w:hint="eastAsia" w:ascii="宋体" w:hAnsi="宋体" w:eastAsia="黑体" w:cs="Times New Roman"/>
          <w:b/>
          <w:bCs/>
          <w:kern w:val="44"/>
          <w:sz w:val="44"/>
          <w:szCs w:val="44"/>
          <w:lang w:val="en-US" w:eastAsia="zh-CN" w:bidi="ar-SA"/>
        </w:rPr>
        <w:t>第</w:t>
      </w:r>
      <w:r>
        <w:rPr>
          <w:rFonts w:hint="eastAsia" w:cs="Times New Roman"/>
          <w:b/>
          <w:bCs/>
          <w:kern w:val="44"/>
          <w:sz w:val="44"/>
          <w:szCs w:val="44"/>
          <w:lang w:val="en-US" w:eastAsia="zh-CN" w:bidi="ar-SA"/>
        </w:rPr>
        <w:t>四</w:t>
      </w:r>
      <w:r>
        <w:rPr>
          <w:rFonts w:hint="eastAsia" w:ascii="宋体" w:hAnsi="宋体" w:eastAsia="黑体" w:cs="Times New Roman"/>
          <w:b/>
          <w:bCs/>
          <w:kern w:val="44"/>
          <w:sz w:val="44"/>
          <w:szCs w:val="44"/>
          <w:lang w:val="en-US" w:eastAsia="zh-CN" w:bidi="ar-SA"/>
        </w:rPr>
        <w:t xml:space="preserve">章 </w:t>
      </w:r>
      <w:r>
        <w:rPr>
          <w:rFonts w:hint="eastAsia"/>
        </w:rPr>
        <w:t>评标办法</w:t>
      </w:r>
      <w:bookmarkEnd w:id="228"/>
      <w:r>
        <w:rPr>
          <w:rFonts w:hint="eastAsia"/>
        </w:rPr>
        <w:t>及标准</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0670D6AD">
      <w:pPr>
        <w:pStyle w:val="17"/>
      </w:pPr>
      <w:r>
        <w:rPr>
          <w:rFonts w:hint="eastAsia"/>
        </w:rPr>
        <w:t>根据《中华人民共和国政府采购法》及其实施条例、《政府采购货物和服务招标投标管理办法》相关法律法规确定以下评标办法及标准。</w:t>
      </w:r>
    </w:p>
    <w:p w14:paraId="76798B36">
      <w:pPr>
        <w:pStyle w:val="4"/>
        <w:numPr>
          <w:ilvl w:val="0"/>
          <w:numId w:val="10"/>
        </w:numPr>
        <w:rPr>
          <w:lang w:val="zh-CN"/>
        </w:rPr>
      </w:pPr>
      <w:bookmarkStart w:id="244" w:name="_Toc8276"/>
      <w:bookmarkStart w:id="245" w:name="_Toc6063"/>
      <w:bookmarkStart w:id="246" w:name="_Toc12673"/>
      <w:bookmarkStart w:id="247" w:name="_Toc25576"/>
      <w:bookmarkStart w:id="248" w:name="_Toc163492900"/>
      <w:bookmarkStart w:id="249" w:name="_Toc17932"/>
      <w:bookmarkStart w:id="250" w:name="_Toc21298"/>
      <w:bookmarkStart w:id="251" w:name="_Toc494561962"/>
      <w:bookmarkStart w:id="252" w:name="_Toc109899903"/>
      <w:bookmarkStart w:id="253" w:name="_Toc278891606"/>
      <w:bookmarkStart w:id="254" w:name="_Toc61280402"/>
      <w:bookmarkStart w:id="255" w:name="_Toc272247709"/>
      <w:bookmarkStart w:id="256" w:name="_Toc155185905"/>
      <w:bookmarkStart w:id="257" w:name="_Toc109900322"/>
      <w:bookmarkStart w:id="258" w:name="_Toc511894518"/>
      <w:bookmarkStart w:id="259" w:name="_Toc140132826"/>
      <w:bookmarkStart w:id="260" w:name="_Toc109899484"/>
      <w:r>
        <w:rPr>
          <w:rFonts w:hint="eastAsia"/>
          <w:lang w:val="zh-CN"/>
        </w:rPr>
        <w:t>评标办法前附表</w:t>
      </w:r>
      <w:bookmarkEnd w:id="244"/>
      <w:bookmarkEnd w:id="245"/>
      <w:bookmarkEnd w:id="246"/>
      <w:bookmarkEnd w:id="247"/>
      <w:bookmarkEnd w:id="248"/>
      <w:bookmarkEnd w:id="249"/>
      <w:bookmarkEnd w:id="250"/>
    </w:p>
    <w:p w14:paraId="35510902">
      <w:pPr>
        <w:pStyle w:val="17"/>
      </w:pPr>
      <w:r>
        <w:rPr>
          <w:rFonts w:hint="eastAsia"/>
        </w:rPr>
        <w:t>下面所列资料是对评标方法和评标程序的具体补充和说明。如有矛盾，应以本表为准。</w:t>
      </w:r>
    </w:p>
    <w:tbl>
      <w:tblPr>
        <w:tblStyle w:val="11"/>
        <w:tblW w:w="0" w:type="auto"/>
        <w:tblInd w:w="-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970"/>
        <w:gridCol w:w="1720"/>
        <w:gridCol w:w="5841"/>
      </w:tblGrid>
      <w:tr w14:paraId="12B1C5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43" w:hRule="atLeast"/>
          <w:tblHeader/>
        </w:trPr>
        <w:tc>
          <w:tcPr>
            <w:tcW w:w="970" w:type="dxa"/>
            <w:tcBorders>
              <w:top w:val="single" w:color="auto" w:sz="4" w:space="0"/>
              <w:left w:val="single" w:color="auto" w:sz="4" w:space="0"/>
              <w:bottom w:val="single" w:color="auto" w:sz="4" w:space="0"/>
              <w:right w:val="single" w:color="auto" w:sz="4" w:space="0"/>
            </w:tcBorders>
            <w:shd w:val="clear" w:color="auto" w:fill="D8D8D8"/>
            <w:noWrap w:val="0"/>
            <w:vAlign w:val="center"/>
          </w:tcPr>
          <w:p w14:paraId="128D2E21">
            <w:pPr>
              <w:pStyle w:val="19"/>
              <w:jc w:val="center"/>
              <w:rPr>
                <w:b/>
                <w:bCs/>
              </w:rPr>
            </w:pPr>
            <w:r>
              <w:rPr>
                <w:rFonts w:hint="eastAsia"/>
                <w:b/>
                <w:bCs/>
              </w:rPr>
              <w:t>条款号</w:t>
            </w:r>
          </w:p>
        </w:tc>
        <w:tc>
          <w:tcPr>
            <w:tcW w:w="1720" w:type="dxa"/>
            <w:tcBorders>
              <w:top w:val="single" w:color="auto" w:sz="4" w:space="0"/>
              <w:left w:val="single" w:color="auto" w:sz="4" w:space="0"/>
              <w:bottom w:val="single" w:color="auto" w:sz="4" w:space="0"/>
              <w:right w:val="single" w:color="auto" w:sz="4" w:space="0"/>
            </w:tcBorders>
            <w:shd w:val="clear" w:color="auto" w:fill="D8D8D8"/>
            <w:noWrap w:val="0"/>
            <w:vAlign w:val="center"/>
          </w:tcPr>
          <w:p w14:paraId="75799F79">
            <w:pPr>
              <w:pStyle w:val="19"/>
              <w:jc w:val="center"/>
              <w:rPr>
                <w:b/>
                <w:bCs/>
              </w:rPr>
            </w:pPr>
            <w:r>
              <w:rPr>
                <w:rFonts w:hint="eastAsia"/>
                <w:b/>
                <w:bCs/>
              </w:rPr>
              <w:t>条款名称</w:t>
            </w:r>
          </w:p>
        </w:tc>
        <w:tc>
          <w:tcPr>
            <w:tcW w:w="5841" w:type="dxa"/>
            <w:tcBorders>
              <w:top w:val="single" w:color="auto" w:sz="4" w:space="0"/>
              <w:left w:val="single" w:color="auto" w:sz="4" w:space="0"/>
              <w:bottom w:val="single" w:color="auto" w:sz="4" w:space="0"/>
              <w:right w:val="single" w:color="auto" w:sz="4" w:space="0"/>
            </w:tcBorders>
            <w:shd w:val="clear" w:color="auto" w:fill="D8D8D8"/>
            <w:noWrap w:val="0"/>
            <w:vAlign w:val="center"/>
          </w:tcPr>
          <w:p w14:paraId="6685A813">
            <w:pPr>
              <w:pStyle w:val="19"/>
              <w:jc w:val="center"/>
              <w:rPr>
                <w:b/>
                <w:bCs/>
              </w:rPr>
            </w:pPr>
            <w:r>
              <w:rPr>
                <w:rFonts w:hint="eastAsia"/>
                <w:b/>
                <w:bCs/>
              </w:rPr>
              <w:t>内  容</w:t>
            </w:r>
          </w:p>
        </w:tc>
      </w:tr>
      <w:tr w14:paraId="2A6C8D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44" w:hRule="atLeast"/>
        </w:trPr>
        <w:tc>
          <w:tcPr>
            <w:tcW w:w="970" w:type="dxa"/>
            <w:tcBorders>
              <w:top w:val="single" w:color="auto" w:sz="4" w:space="0"/>
            </w:tcBorders>
            <w:noWrap w:val="0"/>
            <w:vAlign w:val="center"/>
          </w:tcPr>
          <w:p w14:paraId="534CBE1D">
            <w:pPr>
              <w:pStyle w:val="19"/>
              <w:jc w:val="center"/>
            </w:pPr>
            <w:r>
              <w:t>7.1</w:t>
            </w:r>
          </w:p>
        </w:tc>
        <w:tc>
          <w:tcPr>
            <w:tcW w:w="1720" w:type="dxa"/>
            <w:tcBorders>
              <w:top w:val="single" w:color="auto" w:sz="4" w:space="0"/>
            </w:tcBorders>
            <w:noWrap w:val="0"/>
            <w:vAlign w:val="center"/>
          </w:tcPr>
          <w:p w14:paraId="550A7CD3">
            <w:pPr>
              <w:pStyle w:val="19"/>
            </w:pPr>
            <w:r>
              <w:rPr>
                <w:rFonts w:hint="eastAsia"/>
              </w:rPr>
              <w:t>报价</w:t>
            </w:r>
            <w:r>
              <w:t>修正</w:t>
            </w:r>
            <w:r>
              <w:rPr>
                <w:rFonts w:hint="eastAsia"/>
              </w:rPr>
              <w:t>规定</w:t>
            </w:r>
          </w:p>
        </w:tc>
        <w:tc>
          <w:tcPr>
            <w:tcW w:w="5841" w:type="dxa"/>
            <w:tcBorders>
              <w:top w:val="single" w:color="auto" w:sz="4" w:space="0"/>
            </w:tcBorders>
            <w:noWrap w:val="0"/>
            <w:vAlign w:val="center"/>
          </w:tcPr>
          <w:p w14:paraId="7BCBFBA1">
            <w:pPr>
              <w:pStyle w:val="19"/>
            </w:pPr>
            <w:r>
              <w:rPr>
                <w:rFonts w:hint="eastAsia"/>
              </w:rPr>
              <w:t>（1）</w:t>
            </w:r>
            <w:r>
              <w:t>投标文件中开标一览表内容与投标文件中相应内容不一致的，以开标一览表为准</w:t>
            </w:r>
            <w:r>
              <w:rPr>
                <w:rFonts w:hint="eastAsia"/>
              </w:rPr>
              <w:t>；</w:t>
            </w:r>
          </w:p>
          <w:p w14:paraId="18A893C9">
            <w:pPr>
              <w:pStyle w:val="19"/>
            </w:pPr>
            <w:r>
              <w:rPr>
                <w:rFonts w:hint="eastAsia"/>
              </w:rPr>
              <w:t>（2）</w:t>
            </w:r>
            <w:r>
              <w:t>大写金额和小写金额不一致的，以大写金额为准</w:t>
            </w:r>
            <w:r>
              <w:rPr>
                <w:rFonts w:hint="eastAsia"/>
              </w:rPr>
              <w:t>；</w:t>
            </w:r>
          </w:p>
          <w:p w14:paraId="04EB058D">
            <w:pPr>
              <w:pStyle w:val="19"/>
            </w:pPr>
            <w:r>
              <w:rPr>
                <w:rFonts w:hint="eastAsia"/>
              </w:rPr>
              <w:t>（3）</w:t>
            </w:r>
            <w:r>
              <w:t>单价金额小数点或百分比有明显错位的，以开标一览表的总价为准，并修改单价</w:t>
            </w:r>
            <w:r>
              <w:rPr>
                <w:rFonts w:hint="eastAsia"/>
              </w:rPr>
              <w:t>；</w:t>
            </w:r>
          </w:p>
          <w:p w14:paraId="1DA94794">
            <w:pPr>
              <w:pStyle w:val="19"/>
            </w:pPr>
            <w:r>
              <w:rPr>
                <w:rFonts w:hint="eastAsia"/>
              </w:rPr>
              <w:t>（4）</w:t>
            </w:r>
            <w:r>
              <w:t>总价金额与按单价汇总金额不一致的，以单价金额计算结果为准</w:t>
            </w:r>
            <w:r>
              <w:rPr>
                <w:rFonts w:hint="eastAsia"/>
              </w:rPr>
              <w:t>；</w:t>
            </w:r>
          </w:p>
          <w:p w14:paraId="6F34CE80">
            <w:pPr>
              <w:pStyle w:val="19"/>
            </w:pPr>
            <w:r>
              <w:rPr>
                <w:rFonts w:hint="eastAsia"/>
              </w:rPr>
              <w:t>（5）</w:t>
            </w:r>
            <w:r>
              <w:t>同时出现两种以上不一致的，按照前款规定的顺序修正</w:t>
            </w:r>
            <w:r>
              <w:rPr>
                <w:rFonts w:hint="eastAsia"/>
              </w:rPr>
              <w:t>。</w:t>
            </w:r>
          </w:p>
          <w:p w14:paraId="221F8E4D">
            <w:pPr>
              <w:pStyle w:val="19"/>
            </w:pPr>
            <w:r>
              <w:rPr>
                <w:rFonts w:hint="eastAsia"/>
              </w:rPr>
              <w:t>【根据实际情况调整】</w:t>
            </w:r>
          </w:p>
        </w:tc>
      </w:tr>
      <w:tr w14:paraId="66E217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noWrap w:val="0"/>
            <w:vAlign w:val="center"/>
          </w:tcPr>
          <w:p w14:paraId="1C7BE3AC">
            <w:pPr>
              <w:pStyle w:val="19"/>
              <w:jc w:val="center"/>
            </w:pPr>
            <w:r>
              <w:rPr>
                <w:rFonts w:hint="eastAsia"/>
              </w:rPr>
              <w:t>8</w:t>
            </w:r>
            <w:r>
              <w:t>.2</w:t>
            </w:r>
          </w:p>
        </w:tc>
        <w:tc>
          <w:tcPr>
            <w:tcW w:w="1720" w:type="dxa"/>
            <w:noWrap w:val="0"/>
            <w:vAlign w:val="center"/>
          </w:tcPr>
          <w:p w14:paraId="54CCC69F">
            <w:pPr>
              <w:pStyle w:val="19"/>
            </w:pPr>
            <w:r>
              <w:rPr>
                <w:rFonts w:hint="eastAsia"/>
              </w:rPr>
              <w:t>评标方法</w:t>
            </w:r>
          </w:p>
        </w:tc>
        <w:tc>
          <w:tcPr>
            <w:tcW w:w="5841" w:type="dxa"/>
            <w:noWrap w:val="0"/>
            <w:vAlign w:val="center"/>
          </w:tcPr>
          <w:p w14:paraId="5A8E295C">
            <w:pPr>
              <w:pStyle w:val="19"/>
            </w:pPr>
            <w:r>
              <w:rPr>
                <w:rFonts w:hint="eastAsia" w:ascii="宋体" w:hAnsi="宋体" w:eastAsia="宋体" w:cs="Times New Roman"/>
              </w:rPr>
              <w:t>综合评分法</w:t>
            </w:r>
          </w:p>
        </w:tc>
      </w:tr>
      <w:tr w14:paraId="0C3C31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noWrap w:val="0"/>
            <w:vAlign w:val="center"/>
          </w:tcPr>
          <w:p w14:paraId="60681AEF">
            <w:pPr>
              <w:pStyle w:val="19"/>
              <w:jc w:val="center"/>
            </w:pPr>
            <w:r>
              <w:rPr>
                <w:rFonts w:hint="eastAsia"/>
              </w:rPr>
              <w:t>1</w:t>
            </w:r>
            <w:r>
              <w:t>2.1</w:t>
            </w:r>
          </w:p>
        </w:tc>
        <w:tc>
          <w:tcPr>
            <w:tcW w:w="1720" w:type="dxa"/>
            <w:noWrap w:val="0"/>
            <w:vAlign w:val="center"/>
          </w:tcPr>
          <w:p w14:paraId="2C1FAC59">
            <w:pPr>
              <w:pStyle w:val="19"/>
            </w:pPr>
            <w:r>
              <w:rPr>
                <w:rFonts w:hint="eastAsia"/>
              </w:rPr>
              <w:t>相同品牌中标候选人推荐方式</w:t>
            </w:r>
          </w:p>
        </w:tc>
        <w:tc>
          <w:tcPr>
            <w:tcW w:w="5841" w:type="dxa"/>
            <w:noWrap w:val="0"/>
            <w:vAlign w:val="center"/>
          </w:tcPr>
          <w:p w14:paraId="7260C829">
            <w:pPr>
              <w:pStyle w:val="19"/>
            </w:pPr>
            <w:r>
              <w:rPr>
                <w:rFonts w:hint="eastAsia"/>
              </w:rPr>
              <w:sym w:font="Wingdings" w:char="00FE"/>
            </w:r>
            <w:r>
              <w:rPr>
                <w:rFonts w:hint="eastAsia"/>
              </w:rPr>
              <w:t>得分最高的同品牌投标人获得中标候选人推荐资格；评审得分相同的，由采购人确定或者采购人委托评标委员会以</w:t>
            </w:r>
            <w:r>
              <w:rPr>
                <w:rFonts w:hint="eastAsia"/>
                <w:u w:val="single"/>
              </w:rPr>
              <w:t xml:space="preserve"> </w:t>
            </w:r>
            <w:r>
              <w:rPr>
                <w:u w:val="single"/>
              </w:rPr>
              <w:t xml:space="preserve">   </w:t>
            </w:r>
            <w:r>
              <w:rPr>
                <w:rFonts w:hint="eastAsia"/>
                <w:u w:val="single"/>
              </w:rPr>
              <w:t>投票</w:t>
            </w:r>
            <w:r>
              <w:rPr>
                <w:rFonts w:hint="eastAsia"/>
                <w:u w:val="single"/>
                <w:lang w:val="en-US" w:eastAsia="zh-CN"/>
              </w:rPr>
              <w:t xml:space="preserve"> </w:t>
            </w:r>
            <w:r>
              <w:rPr>
                <w:rFonts w:hint="eastAsia"/>
              </w:rPr>
              <w:t>方式确定一家投标人获得中标人推荐资格，其它同品牌投标人不作为中标候选人。</w:t>
            </w:r>
          </w:p>
          <w:p w14:paraId="5F74AA11">
            <w:pPr>
              <w:pStyle w:val="19"/>
            </w:pPr>
            <w:r>
              <w:rPr>
                <w:rFonts w:hint="eastAsia"/>
              </w:rPr>
              <w:sym w:font="Wingdings" w:char="00A8"/>
            </w:r>
            <w:r>
              <w:rPr>
                <w:rFonts w:hint="eastAsia"/>
              </w:rPr>
              <w:t>报价最低的同品牌投标人获得中标候选人推荐资格；报价相同的，由采购人确定或者采购人委托评标委员会以投票方式确定一家投标人获得中标人推荐资格，其它</w:t>
            </w:r>
            <w:r>
              <w:rPr>
                <w:rFonts w:hint="eastAsia"/>
                <w:b/>
                <w:bCs/>
              </w:rPr>
              <w:t>投标无效</w:t>
            </w:r>
            <w:r>
              <w:rPr>
                <w:rFonts w:hint="eastAsia"/>
              </w:rPr>
              <w:t>。</w:t>
            </w:r>
          </w:p>
        </w:tc>
      </w:tr>
      <w:tr w14:paraId="20DE80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noWrap w:val="0"/>
            <w:vAlign w:val="center"/>
          </w:tcPr>
          <w:p w14:paraId="05C17673">
            <w:pPr>
              <w:pStyle w:val="19"/>
              <w:jc w:val="center"/>
            </w:pPr>
            <w:r>
              <w:rPr>
                <w:rFonts w:hint="eastAsia"/>
              </w:rPr>
              <w:t>1</w:t>
            </w:r>
            <w:r>
              <w:t>3</w:t>
            </w:r>
          </w:p>
        </w:tc>
        <w:tc>
          <w:tcPr>
            <w:tcW w:w="1720" w:type="dxa"/>
            <w:noWrap w:val="0"/>
            <w:vAlign w:val="center"/>
          </w:tcPr>
          <w:p w14:paraId="2E74A3CB">
            <w:pPr>
              <w:pStyle w:val="19"/>
            </w:pPr>
            <w:r>
              <w:rPr>
                <w:rFonts w:hint="eastAsia"/>
              </w:rPr>
              <w:t>中标候选人排序方式</w:t>
            </w:r>
          </w:p>
        </w:tc>
        <w:tc>
          <w:tcPr>
            <w:tcW w:w="5841" w:type="dxa"/>
            <w:noWrap w:val="0"/>
            <w:vAlign w:val="center"/>
          </w:tcPr>
          <w:p w14:paraId="6D72803F">
            <w:pPr>
              <w:pStyle w:val="19"/>
            </w:pPr>
            <w:r>
              <w:rPr>
                <w:rFonts w:hint="eastAsia"/>
              </w:rPr>
              <w:sym w:font="Wingdings" w:char="00FE"/>
            </w:r>
            <w:r>
              <w:t>评标结果</w:t>
            </w:r>
            <w:r>
              <w:rPr>
                <w:rFonts w:hint="eastAsia"/>
              </w:rPr>
              <w:t>排序</w:t>
            </w:r>
            <w:r>
              <w:t>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07B1C38">
            <w:pPr>
              <w:pStyle w:val="19"/>
            </w:pPr>
            <w:r>
              <w:rPr>
                <w:rFonts w:hint="eastAsia"/>
              </w:rPr>
              <w:sym w:font="Wingdings" w:char="00A8"/>
            </w:r>
            <w:r>
              <w:t>评标结果按照投标报价（因落实政府采购政策进行价格扣除的，以扣除后的价格计算）由低到高顺序排列。投标报价相同的并列。投标文件满足招标文件全部实质性要求且投标报价最低的投标人为排名第一的中标候选人。</w:t>
            </w:r>
          </w:p>
        </w:tc>
      </w:tr>
    </w:tbl>
    <w:p w14:paraId="79ADFD14">
      <w:pPr>
        <w:rPr>
          <w:b/>
          <w:bCs/>
        </w:rPr>
      </w:pPr>
    </w:p>
    <w:p w14:paraId="51CAE198">
      <w:pPr>
        <w:pStyle w:val="4"/>
        <w:numPr>
          <w:ilvl w:val="0"/>
          <w:numId w:val="10"/>
        </w:numPr>
        <w:rPr>
          <w:lang w:val="zh-CN"/>
        </w:rPr>
      </w:pPr>
      <w:bookmarkStart w:id="261" w:name="_Toc10635"/>
      <w:bookmarkStart w:id="262" w:name="_Toc1563"/>
      <w:bookmarkStart w:id="263" w:name="_Toc17860"/>
      <w:bookmarkStart w:id="264" w:name="_Toc21784"/>
      <w:bookmarkStart w:id="265" w:name="_Toc23143"/>
      <w:bookmarkStart w:id="266" w:name="_Toc163492901"/>
      <w:bookmarkStart w:id="267" w:name="_Toc27308"/>
      <w:r>
        <w:rPr>
          <w:rFonts w:hint="eastAsia"/>
          <w:lang w:val="zh-CN"/>
        </w:rPr>
        <w:t>评标程序</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5F10B254">
      <w:pPr>
        <w:pStyle w:val="5"/>
        <w:numPr>
          <w:ilvl w:val="0"/>
          <w:numId w:val="11"/>
        </w:numPr>
        <w:rPr>
          <w:lang w:val="zh-CN"/>
        </w:rPr>
      </w:pPr>
      <w:bookmarkStart w:id="268" w:name="_Toc32357"/>
      <w:bookmarkStart w:id="269" w:name="_Toc163492902"/>
      <w:r>
        <w:rPr>
          <w:rFonts w:hint="eastAsia"/>
          <w:lang w:val="zh-CN"/>
        </w:rPr>
        <w:t>符合性审查</w:t>
      </w:r>
      <w:bookmarkEnd w:id="268"/>
      <w:bookmarkEnd w:id="269"/>
    </w:p>
    <w:p w14:paraId="18B62C90">
      <w:pPr>
        <w:ind w:firstLine="470" w:firstLineChars="196"/>
        <w:rPr>
          <w:lang w:val="zh-CN"/>
        </w:rPr>
      </w:pPr>
      <w:r>
        <w:rPr>
          <w:rFonts w:hint="eastAsia"/>
        </w:rPr>
        <w:t>1.</w:t>
      </w:r>
      <w:r>
        <w:rPr>
          <w:rFonts w:hint="eastAsia"/>
          <w:lang w:val="zh-CN"/>
        </w:rPr>
        <w:t>评标委员会应当按照本章“三、评标标准”中“（一）符合性审查”的内容对通过资格审查的投标人的投标文件进行符合性审查，以确定其是否满足招标文件实质性要求。不满足招标文件实质性要求的按照</w:t>
      </w:r>
      <w:r>
        <w:rPr>
          <w:rFonts w:hint="eastAsia"/>
          <w:b/>
          <w:bCs/>
          <w:lang w:val="zh-CN"/>
        </w:rPr>
        <w:t>无效投标处理</w:t>
      </w:r>
      <w:r>
        <w:rPr>
          <w:rFonts w:hint="eastAsia"/>
          <w:lang w:val="zh-CN"/>
        </w:rPr>
        <w:t>。</w:t>
      </w:r>
    </w:p>
    <w:p w14:paraId="0AF57DCA">
      <w:pPr>
        <w:numPr>
          <w:ilvl w:val="0"/>
          <w:numId w:val="0"/>
        </w:numPr>
        <w:ind w:firstLine="472" w:firstLineChars="196"/>
        <w:outlineLvl w:val="3"/>
        <w:rPr>
          <w:b/>
          <w:bCs/>
          <w:lang w:val="zh-CN"/>
        </w:rPr>
      </w:pPr>
      <w:bookmarkStart w:id="270" w:name="_Hlk161614521"/>
      <w:r>
        <w:rPr>
          <w:rFonts w:hint="eastAsia"/>
          <w:b/>
          <w:bCs/>
        </w:rPr>
        <w:t>2.同品牌检查：</w:t>
      </w:r>
    </w:p>
    <w:p w14:paraId="171AB9EA">
      <w:pPr>
        <w:pStyle w:val="17"/>
      </w:pPr>
      <w:r>
        <w:rPr>
          <w:rFonts w:hint="eastAsia"/>
        </w:rPr>
        <w:t>2</w:t>
      </w:r>
      <w:r>
        <w:t>.1</w:t>
      </w:r>
      <w:r>
        <w:rPr>
          <w:rFonts w:hint="eastAsia"/>
        </w:rPr>
        <w:t>单一产品采购（或非单一产品采购中的核心产品），</w:t>
      </w:r>
      <w:r>
        <w:t>提供相同品牌产品且通过资格审查、</w:t>
      </w:r>
      <w:r>
        <w:rPr>
          <w:rFonts w:hint="eastAsia"/>
        </w:rPr>
        <w:t>符合性审查</w:t>
      </w:r>
      <w:r>
        <w:t>的不同投标人参加同一合同项下投标的，按一家投标人计算。</w:t>
      </w:r>
    </w:p>
    <w:p w14:paraId="3AD10A67">
      <w:pPr>
        <w:pStyle w:val="17"/>
      </w:pPr>
      <w:r>
        <w:rPr>
          <w:rFonts w:hint="eastAsia"/>
        </w:rPr>
        <w:t>2</w:t>
      </w:r>
      <w:r>
        <w:t>.2</w:t>
      </w:r>
      <w:r>
        <w:rPr>
          <w:rFonts w:hint="eastAsia"/>
        </w:rPr>
        <w:t>非单一产品采购项目，采购人应当根据采购项目技术构成、产品价格比重等合理确定一个核心产品（采购清单中作“与核心产品相同〈或同一〉品牌”实质性要求的产品，视为一个核心产品），并以“核心产品”在招标文件中载明，评审时按前款规定处理。</w:t>
      </w:r>
    </w:p>
    <w:p w14:paraId="79DB118C">
      <w:pPr>
        <w:pStyle w:val="17"/>
        <w:outlineLvl w:val="4"/>
      </w:pPr>
      <w:r>
        <w:rPr>
          <w:rFonts w:hint="eastAsia"/>
        </w:rPr>
        <w:t>2</w:t>
      </w:r>
      <w:r>
        <w:t>.3</w:t>
      </w:r>
      <w:r>
        <w:rPr>
          <w:rFonts w:hint="eastAsia"/>
        </w:rPr>
        <w:t>有效投标品牌不足</w:t>
      </w:r>
      <w:r>
        <w:t>3</w:t>
      </w:r>
      <w:r>
        <w:rPr>
          <w:rFonts w:hint="eastAsia"/>
        </w:rPr>
        <w:t>家的应按</w:t>
      </w:r>
      <w:r>
        <w:rPr>
          <w:rFonts w:hint="eastAsia"/>
          <w:b/>
          <w:bCs/>
        </w:rPr>
        <w:t>废标</w:t>
      </w:r>
      <w:r>
        <w:rPr>
          <w:rFonts w:hint="eastAsia"/>
        </w:rPr>
        <w:t>处理。</w:t>
      </w:r>
    </w:p>
    <w:bookmarkEnd w:id="270"/>
    <w:p w14:paraId="59FB743E">
      <w:pPr>
        <w:pStyle w:val="5"/>
        <w:numPr>
          <w:ilvl w:val="0"/>
          <w:numId w:val="11"/>
        </w:numPr>
        <w:rPr>
          <w:lang w:val="zh-CN"/>
        </w:rPr>
      </w:pPr>
      <w:bookmarkStart w:id="271" w:name="_Toc102116178"/>
      <w:bookmarkStart w:id="272" w:name="_Toc102056244"/>
      <w:bookmarkStart w:id="273" w:name="_Toc102119879"/>
      <w:bookmarkStart w:id="274" w:name="_Toc102114946"/>
      <w:bookmarkStart w:id="275" w:name="_Toc155185907"/>
      <w:bookmarkStart w:id="276" w:name="_Toc102057744"/>
      <w:bookmarkStart w:id="277" w:name="_Toc102116048"/>
      <w:bookmarkStart w:id="278" w:name="_Toc163492903"/>
      <w:bookmarkStart w:id="279" w:name="_Toc13781"/>
      <w:bookmarkStart w:id="280" w:name="_Toc492403836"/>
      <w:bookmarkStart w:id="281" w:name="_Toc493702305"/>
      <w:bookmarkStart w:id="282" w:name="_Toc27945260"/>
      <w:r>
        <w:rPr>
          <w:rFonts w:hint="eastAsia"/>
          <w:lang w:val="zh-CN"/>
        </w:rPr>
        <w:t>投标文件澄清</w:t>
      </w:r>
      <w:bookmarkEnd w:id="271"/>
      <w:bookmarkEnd w:id="272"/>
      <w:bookmarkEnd w:id="273"/>
      <w:bookmarkEnd w:id="274"/>
      <w:bookmarkEnd w:id="275"/>
      <w:bookmarkEnd w:id="276"/>
      <w:bookmarkEnd w:id="277"/>
      <w:r>
        <w:rPr>
          <w:rFonts w:hint="eastAsia"/>
        </w:rPr>
        <w:t>及修正</w:t>
      </w:r>
      <w:bookmarkEnd w:id="278"/>
      <w:bookmarkEnd w:id="279"/>
    </w:p>
    <w:p w14:paraId="50EA708D">
      <w:pPr>
        <w:pStyle w:val="17"/>
      </w:pPr>
      <w:r>
        <w:t>3.</w:t>
      </w:r>
      <w:r>
        <w:rPr>
          <w:rFonts w:hint="eastAsia"/>
        </w:rPr>
        <w:t>评标期间，</w:t>
      </w:r>
      <w:r>
        <w:t>对于投标文件中含义不明确、同类问题表述不一致或者有明显文字和计算错误的内容，评标委员会</w:t>
      </w:r>
      <w:r>
        <w:rPr>
          <w:rFonts w:hint="eastAsia"/>
        </w:rPr>
        <w:t>应当在交易系统中以书面的形式</w:t>
      </w:r>
      <w:r>
        <w:t>要求投标人</w:t>
      </w:r>
      <w:r>
        <w:rPr>
          <w:rFonts w:hint="eastAsia"/>
        </w:rPr>
        <w:t>作</w:t>
      </w:r>
      <w:r>
        <w:t>出必要的澄清、说明或者补正。</w:t>
      </w:r>
    </w:p>
    <w:p w14:paraId="64A166A8">
      <w:pPr>
        <w:pStyle w:val="17"/>
      </w:pPr>
      <w:r>
        <w:t>4.</w:t>
      </w:r>
      <w:r>
        <w:rPr>
          <w:rFonts w:hint="eastAsia"/>
        </w:rPr>
        <w:t>投标人应按照评标委员会要求在规定时间内作出澄清、说明或者补正，</w:t>
      </w:r>
      <w:r>
        <w:t>澄清、说明或者补正不得超出投标文件的范围或者改变投标文件的实质性内容。</w:t>
      </w:r>
    </w:p>
    <w:p w14:paraId="3207B43B">
      <w:pPr>
        <w:pStyle w:val="17"/>
      </w:pPr>
      <w:r>
        <w:t>5.</w:t>
      </w:r>
      <w:r>
        <w:rPr>
          <w:rFonts w:hint="eastAsia"/>
        </w:rPr>
        <w:t>投标人的</w:t>
      </w:r>
      <w:r>
        <w:t>澄清、说明或者补正</w:t>
      </w:r>
      <w:r>
        <w:rPr>
          <w:rFonts w:hint="eastAsia"/>
        </w:rPr>
        <w:t>是其投标文件的有效组成部分，</w:t>
      </w:r>
      <w:r>
        <w:t>澄清、说明或者补正应当</w:t>
      </w:r>
      <w:r>
        <w:rPr>
          <w:rFonts w:hint="eastAsia"/>
        </w:rPr>
        <w:t>在交易系统中加盖电子印章后提交</w:t>
      </w:r>
      <w:r>
        <w:t>。</w:t>
      </w:r>
    </w:p>
    <w:p w14:paraId="33C89CA0">
      <w:pPr>
        <w:pStyle w:val="17"/>
      </w:pPr>
      <w:r>
        <w:t>6.</w:t>
      </w:r>
      <w:r>
        <w:rPr>
          <w:rFonts w:hint="eastAsia"/>
        </w:rPr>
        <w:t>报价合理性说明：</w:t>
      </w:r>
      <w:r>
        <w:t>评标委员会认为投标人的报价明显低于其他通过</w:t>
      </w:r>
      <w:r>
        <w:rPr>
          <w:rFonts w:hint="eastAsia"/>
        </w:rPr>
        <w:t>符合性审查</w:t>
      </w:r>
      <w:r>
        <w:t>投标人的报价，有可能影响产品质量或者不能诚信履约的，应当要求其</w:t>
      </w:r>
      <w:r>
        <w:rPr>
          <w:rFonts w:hint="eastAsia"/>
        </w:rPr>
        <w:t>在</w:t>
      </w:r>
      <w:r>
        <w:t>合理的时间内提供说明，必要时提交相关证明材料；投标人不能证明其报价合理性的，评标委员</w:t>
      </w:r>
      <w:r>
        <w:rPr>
          <w:rFonts w:hint="eastAsia"/>
        </w:rPr>
        <w:t>应当将其作为</w:t>
      </w:r>
      <w:r>
        <w:rPr>
          <w:b/>
          <w:bCs/>
        </w:rPr>
        <w:t>无效投标</w:t>
      </w:r>
      <w:r>
        <w:t>处理。</w:t>
      </w:r>
    </w:p>
    <w:p w14:paraId="7794FD9A">
      <w:pPr>
        <w:pStyle w:val="17"/>
        <w:outlineLvl w:val="3"/>
      </w:pPr>
      <w:r>
        <w:t>7.投标文件报价出现前后不一致的，按照下列规定修正：</w:t>
      </w:r>
    </w:p>
    <w:p w14:paraId="59DEFD78">
      <w:pPr>
        <w:pStyle w:val="17"/>
        <w:outlineLvl w:val="4"/>
      </w:pPr>
      <w:r>
        <w:t>7.1</w:t>
      </w:r>
      <w:r>
        <w:rPr>
          <w:rFonts w:hint="eastAsia"/>
        </w:rPr>
        <w:t>报价</w:t>
      </w:r>
      <w:r>
        <w:t>修正</w:t>
      </w:r>
      <w:r>
        <w:rPr>
          <w:rFonts w:hint="eastAsia"/>
        </w:rPr>
        <w:t>规定见“</w:t>
      </w:r>
      <w:r>
        <w:rPr>
          <w:rFonts w:hint="eastAsia"/>
          <w:lang w:val="en-US"/>
        </w:rPr>
        <w:t>评标办法前附表</w:t>
      </w:r>
      <w:r>
        <w:rPr>
          <w:rFonts w:hint="eastAsia"/>
        </w:rPr>
        <w:t>”；</w:t>
      </w:r>
    </w:p>
    <w:p w14:paraId="646AA029">
      <w:pPr>
        <w:pStyle w:val="17"/>
      </w:pPr>
      <w:r>
        <w:t>7.2修正后的报价按照</w:t>
      </w:r>
      <w:r>
        <w:rPr>
          <w:rFonts w:hint="eastAsia"/>
        </w:rPr>
        <w:t>第</w:t>
      </w:r>
      <w:r>
        <w:t>5</w:t>
      </w:r>
      <w:r>
        <w:rPr>
          <w:rFonts w:hint="eastAsia"/>
        </w:rPr>
        <w:t>条规定</w:t>
      </w:r>
      <w:r>
        <w:t>经投标人确认后产生约束力，投标人不确认的，</w:t>
      </w:r>
      <w:r>
        <w:rPr>
          <w:rFonts w:hint="eastAsia"/>
        </w:rPr>
        <w:t>按照</w:t>
      </w:r>
      <w:r>
        <w:rPr>
          <w:b/>
          <w:bCs/>
        </w:rPr>
        <w:t>无效</w:t>
      </w:r>
      <w:r>
        <w:rPr>
          <w:rFonts w:hint="eastAsia"/>
          <w:b/>
          <w:bCs/>
        </w:rPr>
        <w:t>投标处理</w:t>
      </w:r>
      <w:r>
        <w:t>。</w:t>
      </w:r>
    </w:p>
    <w:p w14:paraId="4F527598">
      <w:pPr>
        <w:pStyle w:val="5"/>
        <w:numPr>
          <w:ilvl w:val="0"/>
          <w:numId w:val="11"/>
        </w:numPr>
      </w:pPr>
      <w:bookmarkStart w:id="283" w:name="_Toc4483"/>
      <w:bookmarkStart w:id="284" w:name="_Toc163492904"/>
      <w:bookmarkStart w:id="285" w:name="_Toc102057745"/>
      <w:bookmarkStart w:id="286" w:name="_Toc102116179"/>
      <w:bookmarkStart w:id="287" w:name="_Toc102116049"/>
      <w:bookmarkStart w:id="288" w:name="_Toc155185908"/>
      <w:bookmarkStart w:id="289" w:name="_Toc102114947"/>
      <w:bookmarkStart w:id="290" w:name="_Toc102056245"/>
      <w:bookmarkStart w:id="291" w:name="_Toc102119880"/>
      <w:r>
        <w:rPr>
          <w:rFonts w:hint="eastAsia"/>
        </w:rPr>
        <w:t>比较和评价</w:t>
      </w:r>
      <w:bookmarkEnd w:id="283"/>
      <w:bookmarkEnd w:id="284"/>
    </w:p>
    <w:p w14:paraId="0AB5F78D">
      <w:pPr>
        <w:pStyle w:val="17"/>
        <w:outlineLvl w:val="3"/>
        <w:rPr>
          <w:b/>
          <w:bCs/>
        </w:rPr>
      </w:pPr>
      <w:r>
        <w:rPr>
          <w:rFonts w:hint="eastAsia"/>
          <w:b/>
          <w:bCs/>
        </w:rPr>
        <w:t>8</w:t>
      </w:r>
      <w:r>
        <w:rPr>
          <w:b/>
          <w:bCs/>
        </w:rPr>
        <w:t>.</w:t>
      </w:r>
      <w:r>
        <w:rPr>
          <w:rFonts w:hint="eastAsia"/>
          <w:b/>
          <w:bCs/>
        </w:rPr>
        <w:t>评标方法</w:t>
      </w:r>
    </w:p>
    <w:p w14:paraId="579DBE00">
      <w:pPr>
        <w:pStyle w:val="17"/>
      </w:pPr>
      <w:r>
        <w:t>8.1综合评分法，是指投标文件满足招标文件全部实质性要求，且按照评审因素的量化指标评审得分最高的投标人为中标候选人的评标方法。</w:t>
      </w:r>
      <w:bookmarkStart w:id="292" w:name="_Hlk161739908"/>
      <w:r>
        <w:t>最低评标价法</w:t>
      </w:r>
      <w:bookmarkEnd w:id="292"/>
      <w:r>
        <w:t>，是指投标文件满足招标文件全部实质性要求，且投标报价最低的投标人为中标候选人的评标方法。</w:t>
      </w:r>
    </w:p>
    <w:p w14:paraId="6B8D3081">
      <w:pPr>
        <w:pStyle w:val="17"/>
        <w:outlineLvl w:val="4"/>
      </w:pPr>
      <w:r>
        <w:t>8.2本项目评标方法详见《评标办法前附表》。</w:t>
      </w:r>
    </w:p>
    <w:p w14:paraId="5EF3224E">
      <w:pPr>
        <w:pStyle w:val="17"/>
        <w:outlineLvl w:val="3"/>
        <w:rPr>
          <w:b/>
          <w:bCs/>
        </w:rPr>
      </w:pPr>
      <w:r>
        <w:rPr>
          <w:rFonts w:hint="eastAsia"/>
          <w:b/>
          <w:bCs/>
        </w:rPr>
        <w:t>9</w:t>
      </w:r>
      <w:r>
        <w:rPr>
          <w:b/>
          <w:bCs/>
        </w:rPr>
        <w:t>.综合评分法</w:t>
      </w:r>
    </w:p>
    <w:p w14:paraId="3F00DBDA">
      <w:pPr>
        <w:pStyle w:val="17"/>
      </w:pPr>
      <w:r>
        <w:rPr>
          <w:rFonts w:hint="eastAsia"/>
        </w:rPr>
        <w:t>9</w:t>
      </w:r>
      <w:r>
        <w:t>.1</w:t>
      </w:r>
      <w:r>
        <w:rPr>
          <w:rFonts w:hint="eastAsia"/>
        </w:rPr>
        <w:t>评审因素包括投标报价、商务技术以及落实政府采购政策。评审因素及标准见本章《评分标准》。</w:t>
      </w:r>
    </w:p>
    <w:p w14:paraId="1EEB5707">
      <w:pPr>
        <w:pStyle w:val="17"/>
        <w:outlineLvl w:val="4"/>
      </w:pPr>
      <w:r>
        <w:t>9.2投标报价评审</w:t>
      </w:r>
    </w:p>
    <w:p w14:paraId="394D3096">
      <w:pPr>
        <w:pStyle w:val="17"/>
      </w:pPr>
      <w:r>
        <w:rPr>
          <w:rFonts w:hint="eastAsia"/>
        </w:rPr>
        <w:t>（</w:t>
      </w:r>
      <w:r>
        <w:t>1）价格分应当采用低价优先法计算，即满足招标文件要求且投标价格最低的投标报价为评标基准价，其价格分为满分。其他投标人的价格分统一按照下列公式计算：</w:t>
      </w:r>
    </w:p>
    <w:p w14:paraId="00289117">
      <w:pPr>
        <w:pStyle w:val="17"/>
      </w:pPr>
      <w:r>
        <w:rPr>
          <w:rFonts w:hint="eastAsia"/>
        </w:rPr>
        <w:t>投标报价得分</w:t>
      </w:r>
      <w:r>
        <w:t>=(评标基准价／投标报价)×100</w:t>
      </w:r>
    </w:p>
    <w:p w14:paraId="118251AD">
      <w:pPr>
        <w:pStyle w:val="17"/>
      </w:pPr>
      <w:r>
        <w:rPr>
          <w:rFonts w:hint="eastAsia"/>
        </w:rPr>
        <w:t>评标过程中，不得去掉报价中的最高报价和最低报价。</w:t>
      </w:r>
    </w:p>
    <w:p w14:paraId="15CF18A0">
      <w:pPr>
        <w:pStyle w:val="17"/>
      </w:pPr>
      <w:r>
        <w:rPr>
          <w:rFonts w:hint="eastAsia"/>
        </w:rPr>
        <w:t>（</w:t>
      </w:r>
      <w:r>
        <w:t>2）除算术修正和落实政府采购政策的价格扣除外，不对投标报价进行调整；</w:t>
      </w:r>
    </w:p>
    <w:p w14:paraId="28276644">
      <w:pPr>
        <w:pStyle w:val="17"/>
      </w:pPr>
      <w:r>
        <w:rPr>
          <w:rFonts w:hint="eastAsia"/>
        </w:rPr>
        <w:t>（</w:t>
      </w:r>
      <w:r>
        <w:t>3）价格权重见</w:t>
      </w:r>
      <w:r>
        <w:rPr>
          <w:rFonts w:hint="eastAsia"/>
        </w:rPr>
        <w:t>本章</w:t>
      </w:r>
      <w:r>
        <w:t>《评分标准》。</w:t>
      </w:r>
    </w:p>
    <w:p w14:paraId="3579625E">
      <w:pPr>
        <w:pStyle w:val="17"/>
        <w:outlineLvl w:val="4"/>
      </w:pPr>
      <w:r>
        <w:t>9.3商务技术评审</w:t>
      </w:r>
    </w:p>
    <w:p w14:paraId="7C3FDFB5">
      <w:pPr>
        <w:pStyle w:val="17"/>
      </w:pPr>
      <w:r>
        <w:rPr>
          <w:rFonts w:hint="eastAsia"/>
        </w:rPr>
        <w:t>评标委员会应对符合性审查合格的投标文件进行商务和技术评审，并按照招标文件要求及本章“三、评标标准”中的内容进行综合比较和评价。</w:t>
      </w:r>
    </w:p>
    <w:p w14:paraId="3B9876F2">
      <w:pPr>
        <w:pStyle w:val="17"/>
        <w:outlineLvl w:val="4"/>
      </w:pPr>
      <w:r>
        <w:rPr>
          <w:rFonts w:hint="eastAsia"/>
        </w:rPr>
        <w:t>9</w:t>
      </w:r>
      <w:r>
        <w:t>.4</w:t>
      </w:r>
      <w:r>
        <w:rPr>
          <w:rFonts w:hint="eastAsia"/>
        </w:rPr>
        <w:t>计分办法及复核</w:t>
      </w:r>
    </w:p>
    <w:p w14:paraId="37A8F2BE">
      <w:pPr>
        <w:pStyle w:val="17"/>
      </w:pPr>
      <w:r>
        <w:rPr>
          <w:rFonts w:hint="eastAsia"/>
        </w:rPr>
        <w:t>（1）</w:t>
      </w:r>
      <w:r>
        <w:t>评标过程中，各项分值一般精确到小数点后两位，评标得分应为商务评分、技术评分、报价评分之和。评标委员会各成员应汇总每个投标人的得分。</w:t>
      </w:r>
    </w:p>
    <w:p w14:paraId="5928B744">
      <w:pPr>
        <w:pStyle w:val="17"/>
      </w:pPr>
      <w:r>
        <w:rPr>
          <w:rFonts w:hint="eastAsia"/>
        </w:rPr>
        <w:t>（2）</w:t>
      </w:r>
      <w:r>
        <w:t>评标结果汇总完成后，采购代理机构应对评标结果进行复核。经复核发现存在以下情形之一的，评标委员会应当当场修改评标结果，并在评标报告中记载：</w:t>
      </w:r>
    </w:p>
    <w:p w14:paraId="4F279DD7">
      <w:pPr>
        <w:pStyle w:val="17"/>
        <w:numPr>
          <w:ilvl w:val="0"/>
          <w:numId w:val="12"/>
        </w:numPr>
      </w:pPr>
      <w:r>
        <w:t>分值汇总计算错误的；</w:t>
      </w:r>
    </w:p>
    <w:p w14:paraId="438BE39F">
      <w:pPr>
        <w:pStyle w:val="17"/>
        <w:numPr>
          <w:ilvl w:val="0"/>
          <w:numId w:val="12"/>
        </w:numPr>
      </w:pPr>
      <w:r>
        <w:t>分项评分超出评分标准范围的；</w:t>
      </w:r>
    </w:p>
    <w:p w14:paraId="0ED25E44">
      <w:pPr>
        <w:pStyle w:val="17"/>
        <w:numPr>
          <w:ilvl w:val="0"/>
          <w:numId w:val="12"/>
        </w:numPr>
      </w:pPr>
      <w:r>
        <w:t>评标委员会成员对客观评审因素评分不一致的；</w:t>
      </w:r>
    </w:p>
    <w:p w14:paraId="787AC608">
      <w:pPr>
        <w:pStyle w:val="17"/>
        <w:numPr>
          <w:ilvl w:val="0"/>
          <w:numId w:val="12"/>
        </w:numPr>
      </w:pPr>
      <w:r>
        <w:t>经评标委员会认定评分畸高、畸低的</w:t>
      </w:r>
      <w:r>
        <w:rPr>
          <w:rFonts w:hint="eastAsia"/>
        </w:rPr>
        <w:t>。</w:t>
      </w:r>
    </w:p>
    <w:p w14:paraId="5D671F01">
      <w:pPr>
        <w:pStyle w:val="17"/>
      </w:pPr>
      <w:r>
        <w:rPr>
          <w:rFonts w:hint="eastAsia"/>
        </w:rPr>
        <w:t>（3）</w:t>
      </w:r>
      <w:r>
        <w:t>各投标人的最终得分为评标委员会所有成员对各投标人评标得分汇总后的算术平均值。</w:t>
      </w:r>
    </w:p>
    <w:p w14:paraId="209DA27B">
      <w:pPr>
        <w:pStyle w:val="17"/>
        <w:outlineLvl w:val="3"/>
        <w:rPr>
          <w:b/>
          <w:bCs/>
        </w:rPr>
      </w:pPr>
      <w:r>
        <w:rPr>
          <w:rFonts w:hint="eastAsia"/>
          <w:b/>
          <w:bCs/>
        </w:rPr>
        <w:t>1</w:t>
      </w:r>
      <w:r>
        <w:rPr>
          <w:b/>
          <w:bCs/>
        </w:rPr>
        <w:t>0.</w:t>
      </w:r>
      <w:r>
        <w:rPr>
          <w:rFonts w:hint="eastAsia"/>
          <w:b/>
          <w:bCs/>
        </w:rPr>
        <w:t>最低评标价法</w:t>
      </w:r>
    </w:p>
    <w:p w14:paraId="4493999F">
      <w:pPr>
        <w:pStyle w:val="17"/>
      </w:pPr>
      <w:r>
        <w:rPr>
          <w:rFonts w:hint="eastAsia"/>
        </w:rPr>
        <w:t>1</w:t>
      </w:r>
      <w:r>
        <w:t>0.1</w:t>
      </w:r>
      <w:r>
        <w:rPr>
          <w:rFonts w:hint="eastAsia"/>
        </w:rPr>
        <w:t>除算术修正和落实政府采购政策的价格扣除外，不对投标报价进行调整。</w:t>
      </w:r>
    </w:p>
    <w:p w14:paraId="7B4D38B2">
      <w:pPr>
        <w:pStyle w:val="17"/>
        <w:outlineLvl w:val="3"/>
        <w:rPr>
          <w:b/>
          <w:bCs/>
        </w:rPr>
      </w:pPr>
      <w:r>
        <w:rPr>
          <w:rFonts w:hint="eastAsia"/>
          <w:b/>
          <w:bCs/>
        </w:rPr>
        <w:t>1</w:t>
      </w:r>
      <w:r>
        <w:rPr>
          <w:b/>
          <w:bCs/>
        </w:rPr>
        <w:t>1.</w:t>
      </w:r>
      <w:r>
        <w:rPr>
          <w:rFonts w:hint="eastAsia"/>
          <w:b/>
          <w:bCs/>
        </w:rPr>
        <w:t>政府采购政策评审</w:t>
      </w:r>
    </w:p>
    <w:p w14:paraId="41DE3A9A">
      <w:pPr>
        <w:pStyle w:val="17"/>
        <w:outlineLvl w:val="4"/>
      </w:pPr>
      <w:r>
        <w:t>11.1</w:t>
      </w:r>
      <w:r>
        <w:rPr>
          <w:rFonts w:hint="eastAsia"/>
        </w:rPr>
        <w:t>价格扣除</w:t>
      </w:r>
    </w:p>
    <w:p w14:paraId="799EB577">
      <w:pPr>
        <w:pStyle w:val="17"/>
        <w:numPr>
          <w:ilvl w:val="0"/>
          <w:numId w:val="13"/>
        </w:numPr>
      </w:pPr>
      <w:r>
        <w:t>非专门面向中小企业的采购项目或采购包，对符合规定的小微企业（监狱企业、残疾人福利性单位、联合体各方均为小微企业的联合体、符合小微企业划分标准的个体工商户视同小微企业）报价</w:t>
      </w:r>
      <w:r>
        <w:rPr>
          <w:rFonts w:hint="eastAsia"/>
        </w:rPr>
        <w:t>按照本招标文件”投标人须知前附表”中的规定</w:t>
      </w:r>
      <w:r>
        <w:t>扣除，对小微企业中的监狱企业、残疾人福利性单位、采购产品纳入创新产品应用示范推荐目录内企业、采购产品获得节能产品或环境标志产品认证证书的企业报价</w:t>
      </w:r>
      <w:r>
        <w:rPr>
          <w:rFonts w:hint="eastAsia"/>
        </w:rPr>
        <w:t>按照本招标文件”投标人须知前附表”中的规定</w:t>
      </w:r>
      <w:r>
        <w:t>扣除，用扣除后的价格</w:t>
      </w:r>
      <w:r>
        <w:rPr>
          <w:rFonts w:hint="eastAsia"/>
        </w:rPr>
        <w:t>参加评审</w:t>
      </w:r>
      <w:r>
        <w:t>。</w:t>
      </w:r>
    </w:p>
    <w:p w14:paraId="366D2568">
      <w:pPr>
        <w:pStyle w:val="17"/>
        <w:numPr>
          <w:ilvl w:val="0"/>
          <w:numId w:val="13"/>
        </w:numPr>
      </w:pPr>
      <w:r>
        <w:t>参加政府采购活动的小微企业（含节能环保、创新产品企业）未提供“中小企业声明函”的；监狱企业未提供“监狱企业证明文件”的；监狱企业中的小微企业未提供“中小企业声明函”的；残疾人福利性单位未提供“残疾人福利性单位声明函”的；残疾人福利性单位中的小微企业未提供“中小企业声明函”的；不得享受相应的价格扣除优惠。组成联合体或者接受分包的小微企业与联合体内其他企业、分包企业之间存在直接控股、管理关系的，不得享受价格扣除优惠。</w:t>
      </w:r>
    </w:p>
    <w:p w14:paraId="3ACDA1A8">
      <w:pPr>
        <w:pStyle w:val="17"/>
        <w:numPr>
          <w:ilvl w:val="0"/>
          <w:numId w:val="13"/>
        </w:numPr>
      </w:pPr>
      <w:r>
        <w:t>专门面向中小企业、预留部分采购份额面向中小企业采购的项目或采购包，评审时不再进行价格扣除。</w:t>
      </w:r>
    </w:p>
    <w:p w14:paraId="71BC4712">
      <w:pPr>
        <w:pStyle w:val="17"/>
        <w:outlineLvl w:val="3"/>
        <w:rPr>
          <w:b/>
          <w:bCs/>
        </w:rPr>
      </w:pPr>
      <w:r>
        <w:rPr>
          <w:rFonts w:hint="eastAsia"/>
          <w:b/>
          <w:bCs/>
        </w:rPr>
        <w:t>1</w:t>
      </w:r>
      <w:r>
        <w:rPr>
          <w:b/>
          <w:bCs/>
        </w:rPr>
        <w:t>2.</w:t>
      </w:r>
      <w:r>
        <w:rPr>
          <w:rFonts w:hint="eastAsia"/>
          <w:b/>
          <w:bCs/>
        </w:rPr>
        <w:t>相同品牌处理原则</w:t>
      </w:r>
    </w:p>
    <w:p w14:paraId="1577B721">
      <w:pPr>
        <w:pStyle w:val="17"/>
      </w:pPr>
      <w:r>
        <w:t>12.1单一产品采购（或非单一产品采购中的核心产品），提供相同品牌产品且通过资格审查、符合性审查的不同投标人参加同一合同项下投标的，按一家投标人计算，评审后中标候选人推荐资格</w:t>
      </w:r>
      <w:r>
        <w:rPr>
          <w:rFonts w:hint="eastAsia"/>
        </w:rPr>
        <w:t>方式见“评标办法前附表”；</w:t>
      </w:r>
    </w:p>
    <w:p w14:paraId="1627148A">
      <w:pPr>
        <w:pStyle w:val="17"/>
      </w:pPr>
      <w:r>
        <w:t>12.2非单一产品采购项目，采购人应当根据采购项目技术构成、产品价格比重等合理确定一个核心产品（采购清单中作“与核心产品相同〈或同一〉品牌”实质性要求的产品，视为一个核心产品），并以“核心产品”在招标文件中载明，评审时按前款规定处理。</w:t>
      </w:r>
    </w:p>
    <w:bookmarkEnd w:id="285"/>
    <w:bookmarkEnd w:id="286"/>
    <w:bookmarkEnd w:id="287"/>
    <w:bookmarkEnd w:id="288"/>
    <w:bookmarkEnd w:id="289"/>
    <w:bookmarkEnd w:id="290"/>
    <w:bookmarkEnd w:id="291"/>
    <w:p w14:paraId="301D2602">
      <w:pPr>
        <w:pStyle w:val="5"/>
        <w:numPr>
          <w:ilvl w:val="0"/>
          <w:numId w:val="11"/>
        </w:numPr>
        <w:rPr>
          <w:lang w:val="zh-CN"/>
        </w:rPr>
      </w:pPr>
      <w:bookmarkStart w:id="293" w:name="_Toc102114952"/>
      <w:bookmarkStart w:id="294" w:name="_Toc102119885"/>
      <w:bookmarkStart w:id="295" w:name="_Toc102116054"/>
      <w:bookmarkStart w:id="296" w:name="_Toc102057750"/>
      <w:bookmarkStart w:id="297" w:name="_Toc18095"/>
      <w:bookmarkStart w:id="298" w:name="_Toc163492905"/>
      <w:bookmarkStart w:id="299" w:name="_Toc102116184"/>
      <w:bookmarkStart w:id="300" w:name="_Toc102056250"/>
      <w:bookmarkStart w:id="301" w:name="_Toc155185912"/>
      <w:r>
        <w:rPr>
          <w:rFonts w:hint="eastAsia"/>
          <w:lang w:val="zh-CN"/>
        </w:rPr>
        <w:t>评标报告</w:t>
      </w:r>
      <w:bookmarkEnd w:id="293"/>
      <w:bookmarkEnd w:id="294"/>
      <w:bookmarkEnd w:id="295"/>
      <w:bookmarkEnd w:id="296"/>
      <w:bookmarkEnd w:id="297"/>
      <w:bookmarkEnd w:id="298"/>
      <w:bookmarkEnd w:id="299"/>
      <w:bookmarkEnd w:id="300"/>
      <w:bookmarkEnd w:id="301"/>
    </w:p>
    <w:p w14:paraId="3F718341">
      <w:pPr>
        <w:pStyle w:val="17"/>
      </w:pPr>
      <w:r>
        <w:rPr>
          <w:rFonts w:hint="eastAsia"/>
        </w:rPr>
        <w:t>1</w:t>
      </w:r>
      <w:r>
        <w:t>3.</w:t>
      </w:r>
      <w:r>
        <w:rPr>
          <w:rFonts w:hint="eastAsia"/>
        </w:rPr>
        <w:t>评标委员会按照招标文件确定的评标方法、程序及标准，对投标文件进行评审。中标候选人排序方式见“评标办法前附表”。</w:t>
      </w:r>
    </w:p>
    <w:p w14:paraId="675DBE15">
      <w:pPr>
        <w:pStyle w:val="17"/>
      </w:pPr>
      <w:r>
        <w:rPr>
          <w:rFonts w:hint="eastAsia"/>
        </w:rPr>
        <w:t>1</w:t>
      </w:r>
      <w:r>
        <w:t>4.</w:t>
      </w:r>
      <w:r>
        <w:rPr>
          <w:rFonts w:hint="eastAsia"/>
        </w:rPr>
        <w:t>评标委员会依据评标结果，向采购人推荐中标候选人名单，并形成评标报告。</w:t>
      </w:r>
    </w:p>
    <w:p w14:paraId="6D3ACBF9">
      <w:pPr>
        <w:pStyle w:val="17"/>
      </w:pPr>
      <w:r>
        <w:rPr>
          <w:rFonts w:hint="eastAsia"/>
        </w:rPr>
        <w:t>1</w:t>
      </w:r>
      <w:r>
        <w:t>5.</w:t>
      </w:r>
      <w:r>
        <w:rPr>
          <w:rFonts w:hint="eastAsia"/>
        </w:rPr>
        <w:t>评标委员会应当在评标报告上签名，对自己的评审意见承担法律责任。对需要共同认定的事项存在争议的，应当按照少数服从多数的原则作出结论。持不同意见的评标委员会成员应当在评标报告上签署不同意见，并说明理由，否则视为同意评标报告。</w:t>
      </w:r>
    </w:p>
    <w:p w14:paraId="035640FF">
      <w:pPr>
        <w:pStyle w:val="5"/>
        <w:numPr>
          <w:ilvl w:val="0"/>
          <w:numId w:val="11"/>
        </w:numPr>
        <w:rPr>
          <w:lang w:val="zh-CN"/>
        </w:rPr>
      </w:pPr>
      <w:bookmarkStart w:id="302" w:name="_Toc155185913"/>
      <w:bookmarkStart w:id="303" w:name="_Toc163492906"/>
      <w:bookmarkStart w:id="304" w:name="_Toc9206"/>
      <w:bookmarkStart w:id="305" w:name="_Toc102116151"/>
      <w:bookmarkStart w:id="306" w:name="_Toc102119852"/>
      <w:bookmarkStart w:id="307" w:name="_Toc102114919"/>
      <w:bookmarkStart w:id="308" w:name="_Toc102057717"/>
      <w:bookmarkStart w:id="309" w:name="_Toc102116021"/>
      <w:bookmarkStart w:id="310" w:name="_Toc102056217"/>
      <w:r>
        <w:rPr>
          <w:rFonts w:hint="eastAsia"/>
          <w:lang w:val="zh-CN"/>
        </w:rPr>
        <w:t>应予废标的情形</w:t>
      </w:r>
      <w:bookmarkEnd w:id="302"/>
      <w:bookmarkEnd w:id="303"/>
      <w:bookmarkEnd w:id="304"/>
      <w:bookmarkEnd w:id="305"/>
      <w:bookmarkEnd w:id="306"/>
      <w:bookmarkEnd w:id="307"/>
      <w:bookmarkEnd w:id="308"/>
      <w:bookmarkEnd w:id="309"/>
      <w:bookmarkEnd w:id="310"/>
    </w:p>
    <w:p w14:paraId="616707EA">
      <w:pPr>
        <w:pStyle w:val="17"/>
        <w:outlineLvl w:val="3"/>
      </w:pPr>
      <w:r>
        <w:rPr>
          <w:rFonts w:hint="eastAsia"/>
        </w:rPr>
        <w:t>1</w:t>
      </w:r>
      <w:r>
        <w:t>6.</w:t>
      </w:r>
      <w:r>
        <w:rPr>
          <w:rFonts w:hint="eastAsia"/>
        </w:rPr>
        <w:t>在招标采购过程中，出现下列情形之一的，应予</w:t>
      </w:r>
      <w:r>
        <w:rPr>
          <w:rFonts w:hint="eastAsia"/>
          <w:b/>
          <w:bCs/>
        </w:rPr>
        <w:t>废标</w:t>
      </w:r>
      <w:r>
        <w:rPr>
          <w:rFonts w:hint="eastAsia"/>
        </w:rPr>
        <w:t>：</w:t>
      </w:r>
    </w:p>
    <w:p w14:paraId="03844CE1">
      <w:pPr>
        <w:pStyle w:val="17"/>
      </w:pPr>
      <w:r>
        <w:t>16.1</w:t>
      </w:r>
      <w:r>
        <w:rPr>
          <w:rFonts w:hint="eastAsia"/>
        </w:rPr>
        <w:t>符合专业条件的供应商或者对招标文件作实质响应的供应商不足3家的；</w:t>
      </w:r>
    </w:p>
    <w:p w14:paraId="241DEADE">
      <w:pPr>
        <w:pStyle w:val="17"/>
      </w:pPr>
      <w:r>
        <w:t>16.2</w:t>
      </w:r>
      <w:r>
        <w:rPr>
          <w:rFonts w:hint="eastAsia"/>
        </w:rPr>
        <w:t>出现影响采购公正的违法、违规行为的；</w:t>
      </w:r>
    </w:p>
    <w:p w14:paraId="5315E621">
      <w:pPr>
        <w:pStyle w:val="17"/>
      </w:pPr>
      <w:r>
        <w:t>16.3</w:t>
      </w:r>
      <w:r>
        <w:rPr>
          <w:rFonts w:hint="eastAsia"/>
        </w:rPr>
        <w:t>投标人的报价均超过了采购预算，采购人不能支付的；</w:t>
      </w:r>
    </w:p>
    <w:p w14:paraId="0D43259B">
      <w:pPr>
        <w:pStyle w:val="17"/>
      </w:pPr>
      <w:r>
        <w:t>16.4</w:t>
      </w:r>
      <w:r>
        <w:rPr>
          <w:rFonts w:hint="eastAsia"/>
        </w:rPr>
        <w:t>因重大变故，采购任务取消的。</w:t>
      </w:r>
    </w:p>
    <w:p w14:paraId="421FCA51">
      <w:pPr>
        <w:pStyle w:val="17"/>
        <w:outlineLvl w:val="3"/>
      </w:pPr>
      <w:r>
        <w:rPr>
          <w:rFonts w:hint="eastAsia"/>
        </w:rPr>
        <w:t>1</w:t>
      </w:r>
      <w:r>
        <w:t>7.</w:t>
      </w:r>
      <w:r>
        <w:rPr>
          <w:rFonts w:hint="eastAsia"/>
        </w:rPr>
        <w:t>废标后，采购人应当将废标理由通知所有投标人。</w:t>
      </w:r>
    </w:p>
    <w:p w14:paraId="16B9B80D">
      <w:pPr>
        <w:pStyle w:val="5"/>
        <w:numPr>
          <w:ilvl w:val="0"/>
          <w:numId w:val="11"/>
        </w:numPr>
        <w:rPr>
          <w:lang w:val="zh-CN"/>
        </w:rPr>
      </w:pPr>
      <w:bookmarkStart w:id="311" w:name="_Toc155185914"/>
      <w:bookmarkStart w:id="312" w:name="_Toc102116022"/>
      <w:bookmarkStart w:id="313" w:name="_Toc102057718"/>
      <w:bookmarkStart w:id="314" w:name="_Toc102116152"/>
      <w:bookmarkStart w:id="315" w:name="_Toc102056218"/>
      <w:bookmarkStart w:id="316" w:name="_Toc163492907"/>
      <w:bookmarkStart w:id="317" w:name="_Toc21870"/>
      <w:bookmarkStart w:id="318" w:name="_Toc102119853"/>
      <w:bookmarkStart w:id="319" w:name="_Toc102114920"/>
      <w:r>
        <w:rPr>
          <w:rFonts w:hint="eastAsia"/>
          <w:lang w:val="zh-CN"/>
        </w:rPr>
        <w:t>停止评标的情形</w:t>
      </w:r>
      <w:bookmarkEnd w:id="311"/>
      <w:bookmarkEnd w:id="312"/>
      <w:bookmarkEnd w:id="313"/>
      <w:bookmarkEnd w:id="314"/>
      <w:bookmarkEnd w:id="315"/>
      <w:bookmarkEnd w:id="316"/>
      <w:bookmarkEnd w:id="317"/>
      <w:bookmarkEnd w:id="318"/>
      <w:bookmarkEnd w:id="319"/>
    </w:p>
    <w:p w14:paraId="080394C5">
      <w:pPr>
        <w:pStyle w:val="17"/>
      </w:pPr>
      <w:r>
        <w:rPr>
          <w:rFonts w:hint="eastAsia"/>
        </w:rPr>
        <w:t>1</w:t>
      </w:r>
      <w:r>
        <w:t>8.</w:t>
      </w:r>
      <w:r>
        <w:rPr>
          <w:rFonts w:hint="eastAsia"/>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bookmarkEnd w:id="280"/>
      <w:bookmarkEnd w:id="281"/>
      <w:bookmarkEnd w:id="282"/>
      <w:r>
        <w:br w:type="page"/>
      </w:r>
    </w:p>
    <w:p w14:paraId="2F5CF465">
      <w:pPr>
        <w:pStyle w:val="4"/>
        <w:numPr>
          <w:ilvl w:val="0"/>
          <w:numId w:val="10"/>
        </w:numPr>
        <w:rPr>
          <w:lang w:val="zh-CN"/>
        </w:rPr>
      </w:pPr>
      <w:bookmarkStart w:id="320" w:name="_Toc21956"/>
      <w:bookmarkStart w:id="321" w:name="_Toc163492908"/>
      <w:bookmarkStart w:id="322" w:name="_Toc3003"/>
      <w:bookmarkStart w:id="323" w:name="_Toc15398"/>
      <w:bookmarkStart w:id="324" w:name="_Toc2426"/>
      <w:bookmarkStart w:id="325" w:name="_Toc155185915"/>
      <w:bookmarkStart w:id="326" w:name="_Toc26131"/>
      <w:bookmarkStart w:id="327" w:name="_Toc21433"/>
      <w:r>
        <w:rPr>
          <w:rFonts w:hint="eastAsia"/>
          <w:lang w:val="zh-CN"/>
        </w:rPr>
        <w:t>评标标准</w:t>
      </w:r>
      <w:bookmarkEnd w:id="320"/>
      <w:bookmarkEnd w:id="321"/>
      <w:bookmarkEnd w:id="322"/>
      <w:bookmarkEnd w:id="323"/>
      <w:bookmarkEnd w:id="324"/>
      <w:bookmarkEnd w:id="325"/>
      <w:bookmarkEnd w:id="326"/>
      <w:bookmarkEnd w:id="327"/>
    </w:p>
    <w:p w14:paraId="3EACC885">
      <w:pPr>
        <w:pStyle w:val="5"/>
        <w:numPr>
          <w:ilvl w:val="0"/>
          <w:numId w:val="14"/>
        </w:numPr>
        <w:rPr>
          <w:lang w:val="zh-CN"/>
        </w:rPr>
      </w:pPr>
      <w:bookmarkStart w:id="328" w:name="_Toc553"/>
      <w:bookmarkStart w:id="329" w:name="_Toc163492909"/>
      <w:r>
        <w:rPr>
          <w:rFonts w:hint="eastAsia"/>
          <w:lang w:val="zh-CN"/>
        </w:rPr>
        <w:t>符合性审查表</w:t>
      </w:r>
      <w:bookmarkEnd w:id="328"/>
      <w:bookmarkEnd w:id="329"/>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1"/>
        <w:gridCol w:w="2106"/>
        <w:gridCol w:w="5399"/>
      </w:tblGrid>
      <w:tr w14:paraId="120B4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791" w:type="dxa"/>
            <w:shd w:val="clear" w:color="auto" w:fill="D8D8D8"/>
            <w:noWrap w:val="0"/>
            <w:vAlign w:val="center"/>
          </w:tcPr>
          <w:p w14:paraId="4F0D8B0E">
            <w:pPr>
              <w:pStyle w:val="19"/>
              <w:jc w:val="center"/>
              <w:rPr>
                <w:b/>
                <w:bCs/>
                <w:lang w:val="zh-CN"/>
              </w:rPr>
            </w:pPr>
            <w:r>
              <w:rPr>
                <w:rFonts w:hint="eastAsia"/>
                <w:b/>
                <w:bCs/>
                <w:lang w:val="zh-CN"/>
              </w:rPr>
              <w:t>序号</w:t>
            </w:r>
          </w:p>
        </w:tc>
        <w:tc>
          <w:tcPr>
            <w:tcW w:w="2106" w:type="dxa"/>
            <w:shd w:val="clear" w:color="auto" w:fill="D8D8D8"/>
            <w:noWrap w:val="0"/>
            <w:vAlign w:val="center"/>
          </w:tcPr>
          <w:p w14:paraId="583E35F3">
            <w:pPr>
              <w:pStyle w:val="19"/>
              <w:jc w:val="center"/>
              <w:rPr>
                <w:b/>
                <w:bCs/>
                <w:lang w:val="zh-CN"/>
              </w:rPr>
            </w:pPr>
            <w:r>
              <w:rPr>
                <w:rFonts w:hint="eastAsia"/>
                <w:b/>
                <w:bCs/>
                <w:lang w:val="zh-CN"/>
              </w:rPr>
              <w:t>审查项名称</w:t>
            </w:r>
          </w:p>
        </w:tc>
        <w:tc>
          <w:tcPr>
            <w:tcW w:w="5399" w:type="dxa"/>
            <w:shd w:val="clear" w:color="auto" w:fill="D8D8D8"/>
            <w:noWrap w:val="0"/>
            <w:vAlign w:val="center"/>
          </w:tcPr>
          <w:p w14:paraId="71AA880E">
            <w:pPr>
              <w:pStyle w:val="19"/>
              <w:jc w:val="center"/>
              <w:rPr>
                <w:b/>
                <w:bCs/>
                <w:lang w:val="zh-CN"/>
              </w:rPr>
            </w:pPr>
            <w:r>
              <w:rPr>
                <w:rFonts w:hint="eastAsia"/>
                <w:b/>
                <w:bCs/>
                <w:lang w:val="zh-CN"/>
              </w:rPr>
              <w:t>审查内容</w:t>
            </w:r>
          </w:p>
        </w:tc>
      </w:tr>
      <w:tr w14:paraId="4BB53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6" w:hRule="atLeast"/>
        </w:trPr>
        <w:tc>
          <w:tcPr>
            <w:tcW w:w="791" w:type="dxa"/>
            <w:noWrap w:val="0"/>
            <w:vAlign w:val="center"/>
          </w:tcPr>
          <w:p w14:paraId="6945FD66">
            <w:pPr>
              <w:pStyle w:val="19"/>
              <w:numPr>
                <w:ilvl w:val="0"/>
                <w:numId w:val="15"/>
              </w:numPr>
              <w:rPr>
                <w:lang w:val="zh-CN"/>
              </w:rPr>
            </w:pPr>
          </w:p>
        </w:tc>
        <w:tc>
          <w:tcPr>
            <w:tcW w:w="2106" w:type="dxa"/>
            <w:noWrap w:val="0"/>
            <w:vAlign w:val="center"/>
          </w:tcPr>
          <w:p w14:paraId="3D4B6916">
            <w:pPr>
              <w:pStyle w:val="19"/>
              <w:rPr>
                <w:lang w:val="zh-CN"/>
              </w:rPr>
            </w:pPr>
            <w:r>
              <w:rPr>
                <w:rFonts w:hint="eastAsia"/>
                <w:lang w:val="zh-CN"/>
              </w:rPr>
              <w:t>投标报价</w:t>
            </w:r>
          </w:p>
        </w:tc>
        <w:tc>
          <w:tcPr>
            <w:tcW w:w="5399" w:type="dxa"/>
            <w:noWrap w:val="0"/>
            <w:vAlign w:val="center"/>
          </w:tcPr>
          <w:p w14:paraId="60E5886D">
            <w:pPr>
              <w:pStyle w:val="19"/>
              <w:rPr>
                <w:lang w:val="zh-CN"/>
              </w:rPr>
            </w:pPr>
            <w:r>
              <w:rPr>
                <w:rFonts w:hint="eastAsia"/>
                <w:lang w:val="zh-CN"/>
              </w:rPr>
              <w:t>（1）投标报价没有超过项目（</w:t>
            </w:r>
            <w:r>
              <w:rPr>
                <w:rFonts w:hint="eastAsia"/>
              </w:rPr>
              <w:t>采购包</w:t>
            </w:r>
            <w:r>
              <w:rPr>
                <w:rFonts w:hint="eastAsia"/>
                <w:lang w:val="zh-CN"/>
              </w:rPr>
              <w:t>）预算金额或最高限价；</w:t>
            </w:r>
          </w:p>
          <w:p w14:paraId="5D9A910D">
            <w:pPr>
              <w:pStyle w:val="19"/>
              <w:rPr>
                <w:lang w:val="zh-CN"/>
              </w:rPr>
            </w:pPr>
            <w:r>
              <w:rPr>
                <w:rFonts w:hint="eastAsia"/>
                <w:lang w:val="zh-CN"/>
              </w:rPr>
              <w:t>（2）</w:t>
            </w:r>
            <w:r>
              <w:rPr>
                <w:lang w:val="zh-CN"/>
              </w:rPr>
              <w:t>投标报价不存在缺项、漏项。</w:t>
            </w:r>
          </w:p>
        </w:tc>
      </w:tr>
      <w:tr w14:paraId="4C8CC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rPr>
        <w:tc>
          <w:tcPr>
            <w:tcW w:w="791" w:type="dxa"/>
            <w:noWrap w:val="0"/>
            <w:vAlign w:val="center"/>
          </w:tcPr>
          <w:p w14:paraId="0124BFD5">
            <w:pPr>
              <w:pStyle w:val="19"/>
              <w:numPr>
                <w:ilvl w:val="0"/>
                <w:numId w:val="15"/>
              </w:numPr>
              <w:rPr>
                <w:lang w:val="zh-CN"/>
              </w:rPr>
            </w:pPr>
          </w:p>
        </w:tc>
        <w:tc>
          <w:tcPr>
            <w:tcW w:w="2106" w:type="dxa"/>
            <w:noWrap w:val="0"/>
            <w:vAlign w:val="center"/>
          </w:tcPr>
          <w:p w14:paraId="054914C5">
            <w:pPr>
              <w:pStyle w:val="19"/>
              <w:rPr>
                <w:lang w:val="zh-CN"/>
              </w:rPr>
            </w:pPr>
            <w:r>
              <w:rPr>
                <w:rFonts w:hint="eastAsia"/>
                <w:lang w:val="zh-CN"/>
              </w:rPr>
              <w:t>投标文件</w:t>
            </w:r>
            <w:r>
              <w:rPr>
                <w:rFonts w:hint="eastAsia"/>
              </w:rPr>
              <w:t>签署</w:t>
            </w:r>
          </w:p>
        </w:tc>
        <w:tc>
          <w:tcPr>
            <w:tcW w:w="5399" w:type="dxa"/>
            <w:noWrap w:val="0"/>
            <w:vAlign w:val="center"/>
          </w:tcPr>
          <w:p w14:paraId="06421E72">
            <w:pPr>
              <w:pStyle w:val="19"/>
              <w:rPr>
                <w:lang w:val="zh-CN"/>
              </w:rPr>
            </w:pPr>
            <w:r>
              <w:rPr>
                <w:rFonts w:hint="eastAsia"/>
              </w:rPr>
              <w:t>按照招标文件要求签署、盖章。</w:t>
            </w:r>
          </w:p>
        </w:tc>
      </w:tr>
      <w:tr w14:paraId="1A54B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8" w:hRule="atLeast"/>
        </w:trPr>
        <w:tc>
          <w:tcPr>
            <w:tcW w:w="791" w:type="dxa"/>
            <w:noWrap w:val="0"/>
            <w:vAlign w:val="center"/>
          </w:tcPr>
          <w:p w14:paraId="4AA1899E">
            <w:pPr>
              <w:pStyle w:val="19"/>
              <w:numPr>
                <w:ilvl w:val="0"/>
                <w:numId w:val="15"/>
              </w:numPr>
              <w:rPr>
                <w:lang w:val="zh-CN"/>
              </w:rPr>
            </w:pPr>
          </w:p>
        </w:tc>
        <w:tc>
          <w:tcPr>
            <w:tcW w:w="2106" w:type="dxa"/>
            <w:noWrap w:val="0"/>
            <w:vAlign w:val="center"/>
          </w:tcPr>
          <w:p w14:paraId="1164C622">
            <w:pPr>
              <w:pStyle w:val="19"/>
              <w:rPr>
                <w:lang w:val="zh-CN"/>
              </w:rPr>
            </w:pPr>
            <w:r>
              <w:rPr>
                <w:rFonts w:hint="eastAsia"/>
                <w:lang w:val="zh-CN"/>
              </w:rPr>
              <w:t>实质性要求</w:t>
            </w:r>
          </w:p>
        </w:tc>
        <w:tc>
          <w:tcPr>
            <w:tcW w:w="5399" w:type="dxa"/>
            <w:noWrap w:val="0"/>
            <w:vAlign w:val="center"/>
          </w:tcPr>
          <w:p w14:paraId="36B6FF9D">
            <w:pPr>
              <w:pStyle w:val="19"/>
              <w:rPr>
                <w:lang w:val="zh-CN"/>
              </w:rPr>
            </w:pPr>
            <w:r>
              <w:rPr>
                <w:rFonts w:hint="eastAsia"/>
                <w:lang w:val="zh-CN"/>
              </w:rPr>
              <w:t>（</w:t>
            </w:r>
            <w:r>
              <w:rPr>
                <w:rFonts w:hint="eastAsia"/>
              </w:rPr>
              <w:t>1</w:t>
            </w:r>
            <w:r>
              <w:rPr>
                <w:rFonts w:hint="eastAsia"/>
                <w:lang w:val="zh-CN"/>
              </w:rPr>
              <w:t>）满足招标文件第三章“项目采购需求”中要求的实质性条款；</w:t>
            </w:r>
          </w:p>
          <w:p w14:paraId="103B8350">
            <w:pPr>
              <w:pStyle w:val="19"/>
              <w:rPr>
                <w:lang w:val="zh-CN"/>
              </w:rPr>
            </w:pPr>
            <w:r>
              <w:rPr>
                <w:rFonts w:hint="eastAsia"/>
                <w:lang w:val="zh-CN"/>
              </w:rPr>
              <w:t>（</w:t>
            </w:r>
            <w:r>
              <w:rPr>
                <w:rFonts w:hint="eastAsia"/>
              </w:rPr>
              <w:t>2</w:t>
            </w:r>
            <w:r>
              <w:rPr>
                <w:rFonts w:hint="eastAsia"/>
                <w:lang w:val="zh-CN"/>
              </w:rPr>
              <w:t>）投标有效期满足招标文件要求；</w:t>
            </w:r>
          </w:p>
          <w:p w14:paraId="7FB8A96C">
            <w:pPr>
              <w:pStyle w:val="19"/>
              <w:rPr>
                <w:lang w:val="zh-CN"/>
              </w:rPr>
            </w:pPr>
            <w:r>
              <w:rPr>
                <w:rFonts w:hint="eastAsia"/>
                <w:lang w:val="zh-CN"/>
              </w:rPr>
              <w:t>（</w:t>
            </w:r>
            <w:r>
              <w:t>3</w:t>
            </w:r>
            <w:r>
              <w:rPr>
                <w:rFonts w:hint="eastAsia"/>
                <w:lang w:val="zh-CN"/>
              </w:rPr>
              <w:t>）没有</w:t>
            </w:r>
            <w:r>
              <w:rPr>
                <w:lang w:val="zh-CN"/>
              </w:rPr>
              <w:t>采购人不能接受的附加条件</w:t>
            </w:r>
            <w:r>
              <w:rPr>
                <w:rFonts w:hint="eastAsia"/>
                <w:lang w:val="zh-CN"/>
              </w:rPr>
              <w:t>。</w:t>
            </w:r>
          </w:p>
        </w:tc>
      </w:tr>
      <w:tr w14:paraId="3426B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6" w:hRule="atLeast"/>
        </w:trPr>
        <w:tc>
          <w:tcPr>
            <w:tcW w:w="791" w:type="dxa"/>
            <w:noWrap w:val="0"/>
            <w:vAlign w:val="center"/>
          </w:tcPr>
          <w:p w14:paraId="29450B2F">
            <w:pPr>
              <w:pStyle w:val="19"/>
              <w:numPr>
                <w:ilvl w:val="0"/>
                <w:numId w:val="15"/>
              </w:numPr>
              <w:rPr>
                <w:lang w:val="zh-CN"/>
              </w:rPr>
            </w:pPr>
          </w:p>
        </w:tc>
        <w:tc>
          <w:tcPr>
            <w:tcW w:w="2106" w:type="dxa"/>
            <w:noWrap w:val="0"/>
            <w:vAlign w:val="center"/>
          </w:tcPr>
          <w:p w14:paraId="00764027">
            <w:pPr>
              <w:pStyle w:val="19"/>
            </w:pPr>
            <w:r>
              <w:rPr>
                <w:rFonts w:hint="eastAsia"/>
              </w:rPr>
              <w:t>围标串标情形</w:t>
            </w:r>
          </w:p>
        </w:tc>
        <w:tc>
          <w:tcPr>
            <w:tcW w:w="5399" w:type="dxa"/>
            <w:noWrap w:val="0"/>
            <w:vAlign w:val="center"/>
          </w:tcPr>
          <w:p w14:paraId="5532C78C">
            <w:pPr>
              <w:pStyle w:val="19"/>
            </w:pPr>
            <w:r>
              <w:rPr>
                <w:rFonts w:hint="eastAsia"/>
              </w:rPr>
              <w:t>投标人不存在下列任一情形：</w:t>
            </w:r>
          </w:p>
          <w:p w14:paraId="51F37A92">
            <w:pPr>
              <w:pStyle w:val="19"/>
            </w:pPr>
            <w:r>
              <w:rPr>
                <w:rFonts w:hint="eastAsia"/>
              </w:rPr>
              <w:t>（1）不同投标人的投标文件由同一单位或者个人编制；</w:t>
            </w:r>
          </w:p>
          <w:p w14:paraId="35978B15">
            <w:pPr>
              <w:pStyle w:val="19"/>
            </w:pPr>
            <w:r>
              <w:rPr>
                <w:rFonts w:hint="eastAsia"/>
              </w:rPr>
              <w:t>（2）不同投标人委托同一单位或者个人办理投标事宜；</w:t>
            </w:r>
          </w:p>
          <w:p w14:paraId="28904DDF">
            <w:pPr>
              <w:pStyle w:val="19"/>
            </w:pPr>
            <w:r>
              <w:rPr>
                <w:rFonts w:hint="eastAsia"/>
              </w:rPr>
              <w:t>（3）不同投标人的投标文件载明的项目管理成员或者联系人员为同一人；</w:t>
            </w:r>
          </w:p>
          <w:p w14:paraId="4FF653F5">
            <w:pPr>
              <w:pStyle w:val="19"/>
            </w:pPr>
            <w:r>
              <w:rPr>
                <w:rFonts w:hint="eastAsia"/>
              </w:rPr>
              <w:t>（4）不同投标人的投标文件异常一致或者投标报价呈规律性差异；</w:t>
            </w:r>
          </w:p>
          <w:p w14:paraId="32665463">
            <w:pPr>
              <w:pStyle w:val="19"/>
            </w:pPr>
            <w:r>
              <w:rPr>
                <w:rFonts w:hint="eastAsia"/>
              </w:rPr>
              <w:t>（5）不同投标人的投标文件相互混装；</w:t>
            </w:r>
          </w:p>
          <w:p w14:paraId="473730C3">
            <w:pPr>
              <w:pStyle w:val="19"/>
              <w:rPr>
                <w:lang w:val="zh-CN"/>
              </w:rPr>
            </w:pPr>
            <w:r>
              <w:rPr>
                <w:rFonts w:hint="eastAsia" w:cs="宋体"/>
              </w:rPr>
              <w:t>（</w:t>
            </w:r>
            <w:r>
              <w:rPr>
                <w:rFonts w:cs="宋体"/>
              </w:rPr>
              <w:t>6</w:t>
            </w:r>
            <w:r>
              <w:rPr>
                <w:rFonts w:hint="eastAsia" w:cs="宋体"/>
              </w:rPr>
              <w:t>）</w:t>
            </w:r>
            <w:r>
              <w:rPr>
                <w:rFonts w:hint="eastAsia"/>
                <w:lang w:val="zh-CN"/>
              </w:rPr>
              <w:t>不同投标人使用同一电脑（机器特征值一致：如</w:t>
            </w:r>
            <w:r>
              <w:rPr>
                <w:lang w:val="zh-CN"/>
              </w:rPr>
              <w:t>MAC地址等）或使用同一电子密钥，编制或上传电子投标文件。</w:t>
            </w:r>
          </w:p>
        </w:tc>
      </w:tr>
      <w:tr w14:paraId="70A65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4" w:hRule="atLeast"/>
        </w:trPr>
        <w:tc>
          <w:tcPr>
            <w:tcW w:w="791" w:type="dxa"/>
            <w:noWrap w:val="0"/>
            <w:vAlign w:val="center"/>
          </w:tcPr>
          <w:p w14:paraId="29A9AE7F">
            <w:pPr>
              <w:pStyle w:val="19"/>
              <w:numPr>
                <w:ilvl w:val="0"/>
                <w:numId w:val="15"/>
              </w:numPr>
              <w:rPr>
                <w:lang w:val="zh-CN"/>
              </w:rPr>
            </w:pPr>
          </w:p>
        </w:tc>
        <w:tc>
          <w:tcPr>
            <w:tcW w:w="2106" w:type="dxa"/>
            <w:noWrap w:val="0"/>
            <w:vAlign w:val="center"/>
          </w:tcPr>
          <w:p w14:paraId="40C6D1AD">
            <w:pPr>
              <w:pStyle w:val="19"/>
              <w:rPr>
                <w:lang w:val="zh-CN"/>
              </w:rPr>
            </w:pPr>
            <w:r>
              <w:rPr>
                <w:lang w:val="zh-CN"/>
              </w:rPr>
              <w:t>其他</w:t>
            </w:r>
            <w:r>
              <w:rPr>
                <w:rFonts w:hint="eastAsia"/>
                <w:lang w:val="zh-CN"/>
              </w:rPr>
              <w:t>无效情形</w:t>
            </w:r>
          </w:p>
        </w:tc>
        <w:tc>
          <w:tcPr>
            <w:tcW w:w="5399" w:type="dxa"/>
            <w:noWrap w:val="0"/>
            <w:vAlign w:val="center"/>
          </w:tcPr>
          <w:p w14:paraId="45CC6E8F">
            <w:pPr>
              <w:pStyle w:val="19"/>
              <w:rPr>
                <w:lang w:val="zh-CN"/>
              </w:rPr>
            </w:pPr>
            <w:r>
              <w:rPr>
                <w:rFonts w:hint="eastAsia"/>
                <w:lang w:val="zh-CN"/>
              </w:rPr>
              <w:t>不存在</w:t>
            </w:r>
            <w:r>
              <w:rPr>
                <w:lang w:val="zh-CN"/>
              </w:rPr>
              <w:t>法律、法规</w:t>
            </w:r>
            <w:r>
              <w:rPr>
                <w:rFonts w:hint="eastAsia"/>
                <w:lang w:val="zh-CN"/>
              </w:rPr>
              <w:t>和招标文件</w:t>
            </w:r>
            <w:r>
              <w:rPr>
                <w:lang w:val="zh-CN"/>
              </w:rPr>
              <w:t>规定的其他</w:t>
            </w:r>
            <w:r>
              <w:rPr>
                <w:rFonts w:hint="eastAsia"/>
                <w:b/>
                <w:bCs/>
                <w:lang w:val="zh-CN"/>
              </w:rPr>
              <w:t>无效投标</w:t>
            </w:r>
            <w:r>
              <w:rPr>
                <w:lang w:val="zh-CN"/>
              </w:rPr>
              <w:t>情形。</w:t>
            </w:r>
          </w:p>
        </w:tc>
      </w:tr>
    </w:tbl>
    <w:p w14:paraId="1A07188C">
      <w:pPr>
        <w:pStyle w:val="5"/>
        <w:numPr>
          <w:ilvl w:val="0"/>
          <w:numId w:val="14"/>
        </w:numPr>
        <w:rPr>
          <w:rFonts w:hint="eastAsia"/>
          <w:lang w:val="zh-CN"/>
        </w:rPr>
      </w:pPr>
      <w:bookmarkStart w:id="330" w:name="_Toc155185917"/>
      <w:bookmarkStart w:id="331" w:name="_Toc19521"/>
      <w:bookmarkStart w:id="332" w:name="_Toc163492910"/>
      <w:r>
        <w:rPr>
          <w:rFonts w:hint="eastAsia"/>
          <w:lang w:val="zh-CN"/>
        </w:rPr>
        <w:t>评分标准</w:t>
      </w:r>
      <w:bookmarkEnd w:id="330"/>
      <w:bookmarkEnd w:id="331"/>
      <w:bookmarkEnd w:id="332"/>
    </w:p>
    <w:p w14:paraId="334E7E60">
      <w:pPr>
        <w:rPr>
          <w:lang w:val="zh-CN"/>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183"/>
        <w:gridCol w:w="897"/>
        <w:gridCol w:w="5000"/>
      </w:tblGrid>
      <w:tr w14:paraId="79158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216" w:type="dxa"/>
            <w:shd w:val="clear" w:color="auto" w:fill="D8D8D8"/>
            <w:noWrap w:val="0"/>
            <w:vAlign w:val="center"/>
          </w:tcPr>
          <w:p w14:paraId="3535A400">
            <w:pPr>
              <w:pStyle w:val="19"/>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评标项目</w:t>
            </w:r>
          </w:p>
        </w:tc>
        <w:tc>
          <w:tcPr>
            <w:tcW w:w="1183" w:type="dxa"/>
            <w:shd w:val="clear" w:color="auto" w:fill="D8D8D8"/>
            <w:noWrap w:val="0"/>
            <w:vAlign w:val="center"/>
          </w:tcPr>
          <w:p w14:paraId="109CFA7B">
            <w:pPr>
              <w:pStyle w:val="19"/>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评标分项</w:t>
            </w:r>
          </w:p>
        </w:tc>
        <w:tc>
          <w:tcPr>
            <w:tcW w:w="897" w:type="dxa"/>
            <w:shd w:val="clear" w:color="auto" w:fill="D8D8D8"/>
            <w:noWrap w:val="0"/>
            <w:vAlign w:val="center"/>
          </w:tcPr>
          <w:p w14:paraId="140B7D4D">
            <w:pPr>
              <w:pStyle w:val="19"/>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分值</w:t>
            </w:r>
          </w:p>
        </w:tc>
        <w:tc>
          <w:tcPr>
            <w:tcW w:w="5000" w:type="dxa"/>
            <w:shd w:val="clear" w:color="auto" w:fill="D8D8D8"/>
            <w:noWrap w:val="0"/>
            <w:vAlign w:val="center"/>
          </w:tcPr>
          <w:p w14:paraId="0E7674DB">
            <w:pPr>
              <w:pStyle w:val="19"/>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子项目及分值</w:t>
            </w:r>
          </w:p>
        </w:tc>
      </w:tr>
      <w:tr w14:paraId="31C1C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6" w:type="dxa"/>
            <w:noWrap w:val="0"/>
            <w:vAlign w:val="center"/>
          </w:tcPr>
          <w:p w14:paraId="29B07933">
            <w:pPr>
              <w:pStyle w:val="1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价格部分</w:t>
            </w:r>
          </w:p>
          <w:p w14:paraId="0F94AEA0">
            <w:pPr>
              <w:pStyle w:val="1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分）</w:t>
            </w:r>
          </w:p>
        </w:tc>
        <w:tc>
          <w:tcPr>
            <w:tcW w:w="1183" w:type="dxa"/>
            <w:tcBorders>
              <w:bottom w:val="single" w:color="auto" w:sz="4" w:space="0"/>
            </w:tcBorders>
            <w:noWrap w:val="0"/>
            <w:vAlign w:val="center"/>
          </w:tcPr>
          <w:p w14:paraId="6D88E034">
            <w:pPr>
              <w:pStyle w:val="1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报价得分</w:t>
            </w:r>
          </w:p>
        </w:tc>
        <w:tc>
          <w:tcPr>
            <w:tcW w:w="897" w:type="dxa"/>
            <w:noWrap w:val="0"/>
            <w:vAlign w:val="center"/>
          </w:tcPr>
          <w:p w14:paraId="3A7BA8F6">
            <w:pPr>
              <w:pStyle w:val="1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10分</w:t>
            </w:r>
          </w:p>
        </w:tc>
        <w:tc>
          <w:tcPr>
            <w:tcW w:w="5000" w:type="dxa"/>
            <w:noWrap w:val="0"/>
            <w:vAlign w:val="center"/>
          </w:tcPr>
          <w:p w14:paraId="695AC566">
            <w:pPr>
              <w:pStyle w:val="19"/>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评标委员会只对资格和符合性检查合格的投标文件进行价格评议，本次评分法采用综合评分法，即满足招标文件要求且投标价格最低（落实政府采购政策进行价格调整的，以调整后的价格计算）的投标报价为评标基准价(恶意竞标的除外)，其价格分为</w:t>
            </w:r>
            <w:r>
              <w:rPr>
                <w:rFonts w:hint="eastAsia" w:asciiTheme="minorEastAsia" w:hAnsiTheme="minorEastAsia" w:eastAsiaTheme="minorEastAsia" w:cstheme="minorEastAsia"/>
                <w:color w:val="auto"/>
                <w:sz w:val="18"/>
                <w:szCs w:val="18"/>
                <w:highlight w:val="none"/>
                <w:lang w:val="en-US" w:eastAsia="zh-CN"/>
              </w:rPr>
              <w:t>1</w:t>
            </w:r>
            <w:r>
              <w:rPr>
                <w:rFonts w:hint="eastAsia" w:asciiTheme="minorEastAsia" w:hAnsiTheme="minorEastAsia" w:eastAsiaTheme="minorEastAsia" w:cstheme="minorEastAsia"/>
                <w:color w:val="auto"/>
                <w:sz w:val="18"/>
                <w:szCs w:val="18"/>
                <w:highlight w:val="none"/>
              </w:rPr>
              <w:t>0分。其他供应商的价格分统一按照下列公式计算。其他投标报价得分=(评标基准价/投标报价)×</w:t>
            </w:r>
            <w:r>
              <w:rPr>
                <w:rFonts w:hint="eastAsia" w:asciiTheme="minorEastAsia" w:hAnsiTheme="minorEastAsia" w:eastAsiaTheme="minorEastAsia" w:cstheme="minorEastAsia"/>
                <w:color w:val="auto"/>
                <w:sz w:val="18"/>
                <w:szCs w:val="18"/>
                <w:highlight w:val="none"/>
                <w:lang w:val="en-US" w:eastAsia="zh-CN"/>
              </w:rPr>
              <w:t>1</w:t>
            </w:r>
            <w:r>
              <w:rPr>
                <w:rFonts w:hint="eastAsia" w:asciiTheme="minorEastAsia" w:hAnsiTheme="minorEastAsia" w:eastAsiaTheme="minorEastAsia" w:cstheme="minorEastAsia"/>
                <w:color w:val="auto"/>
                <w:sz w:val="18"/>
                <w:szCs w:val="18"/>
                <w:highlight w:val="none"/>
              </w:rPr>
              <w:t>0×100%。</w:t>
            </w:r>
          </w:p>
        </w:tc>
      </w:tr>
      <w:tr w14:paraId="2DFEF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6" w:type="dxa"/>
            <w:vMerge w:val="restart"/>
            <w:noWrap w:val="0"/>
            <w:vAlign w:val="center"/>
          </w:tcPr>
          <w:p w14:paraId="5600D6C4">
            <w:pPr>
              <w:pStyle w:val="1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商务部分</w:t>
            </w:r>
          </w:p>
          <w:p w14:paraId="12261FC5">
            <w:pPr>
              <w:pStyle w:val="1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34</w:t>
            </w:r>
            <w:r>
              <w:rPr>
                <w:rFonts w:hint="eastAsia" w:asciiTheme="minorEastAsia" w:hAnsiTheme="minorEastAsia" w:eastAsiaTheme="minorEastAsia" w:cstheme="minorEastAsia"/>
                <w:color w:val="auto"/>
                <w:sz w:val="21"/>
                <w:szCs w:val="21"/>
                <w:highlight w:val="none"/>
              </w:rPr>
              <w:t>分）</w:t>
            </w:r>
          </w:p>
        </w:tc>
        <w:tc>
          <w:tcPr>
            <w:tcW w:w="1183" w:type="dxa"/>
            <w:tcBorders>
              <w:top w:val="single" w:color="auto" w:sz="4" w:space="0"/>
            </w:tcBorders>
            <w:noWrap w:val="0"/>
            <w:vAlign w:val="center"/>
          </w:tcPr>
          <w:p w14:paraId="25D8FC27">
            <w:pPr>
              <w:keepNext w:val="0"/>
              <w:keepLines w:val="0"/>
              <w:pageBreakBefore w:val="0"/>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lang w:eastAsia="zh-CN"/>
              </w:rPr>
              <w:t>类似</w:t>
            </w:r>
            <w:r>
              <w:rPr>
                <w:rFonts w:hint="eastAsia" w:asciiTheme="minorEastAsia" w:hAnsiTheme="minorEastAsia" w:eastAsiaTheme="minorEastAsia" w:cstheme="minorEastAsia"/>
                <w:bCs/>
                <w:color w:val="000000"/>
                <w:sz w:val="21"/>
                <w:szCs w:val="21"/>
                <w:highlight w:val="none"/>
              </w:rPr>
              <w:t>业绩</w:t>
            </w:r>
          </w:p>
          <w:p w14:paraId="7953EB97">
            <w:pPr>
              <w:keepNext w:val="0"/>
              <w:keepLines w:val="0"/>
              <w:pageBreakBefore w:val="0"/>
              <w:widowControl/>
              <w:kinsoku/>
              <w:wordWrap/>
              <w:overflowPunct/>
              <w:topLinePunct w:val="0"/>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rPr>
            </w:pPr>
          </w:p>
        </w:tc>
        <w:tc>
          <w:tcPr>
            <w:tcW w:w="897" w:type="dxa"/>
            <w:noWrap w:val="0"/>
            <w:vAlign w:val="center"/>
          </w:tcPr>
          <w:p w14:paraId="1CD02AD1">
            <w:pPr>
              <w:pStyle w:val="1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16分</w:t>
            </w:r>
          </w:p>
        </w:tc>
        <w:tc>
          <w:tcPr>
            <w:tcW w:w="5000" w:type="dxa"/>
            <w:noWrap w:val="0"/>
            <w:vAlign w:val="center"/>
          </w:tcPr>
          <w:p w14:paraId="3C07F0DD">
            <w:pPr>
              <w:keepNext w:val="0"/>
              <w:keepLines w:val="0"/>
              <w:pageBreakBefore w:val="0"/>
              <w:kinsoku/>
              <w:wordWrap/>
              <w:overflowPunct/>
              <w:topLinePunct w:val="0"/>
              <w:bidi w:val="0"/>
              <w:adjustRightInd/>
              <w:snapToGrid/>
              <w:spacing w:line="360" w:lineRule="exact"/>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供应商提供近4年单项合同金额800万元及以上类似项目业绩的，每个5分，最多得10分；金额800万元（含）以下类似项目业绩的，每个2分，最多得6分。</w:t>
            </w:r>
          </w:p>
          <w:p w14:paraId="3466AD97">
            <w:pPr>
              <w:keepNext w:val="0"/>
              <w:keepLines w:val="0"/>
              <w:pageBreakBefore w:val="0"/>
              <w:kinsoku/>
              <w:wordWrap/>
              <w:overflowPunct/>
              <w:topLinePunct w:val="0"/>
              <w:bidi w:val="0"/>
              <w:adjustRightInd/>
              <w:snapToGrid/>
              <w:spacing w:line="360" w:lineRule="exact"/>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同一项目不重复计分。</w:t>
            </w:r>
          </w:p>
          <w:p w14:paraId="2CE093CC">
            <w:pPr>
              <w:keepNext w:val="0"/>
              <w:keepLines w:val="0"/>
              <w:pageBreakBefore w:val="0"/>
              <w:kinsoku/>
              <w:wordWrap/>
              <w:overflowPunct/>
              <w:topLinePunct w:val="0"/>
              <w:bidi w:val="0"/>
              <w:adjustRightInd/>
              <w:snapToGrid/>
              <w:spacing w:line="360" w:lineRule="exact"/>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类似项目是指：森林抚育、疫木清理、造林绿化、封山育林、退化林修复、松材线虫除治、生物防火阻隔带以及与本次采购内容相似的项目。</w:t>
            </w:r>
          </w:p>
          <w:p w14:paraId="0A12462E">
            <w:pPr>
              <w:keepNext w:val="0"/>
              <w:keepLines w:val="0"/>
              <w:pageBreakBefore w:val="0"/>
              <w:kinsoku/>
              <w:wordWrap/>
              <w:overflowPunct/>
              <w:topLinePunct w:val="0"/>
              <w:bidi w:val="0"/>
              <w:adjustRightInd/>
              <w:snapToGrid/>
              <w:spacing w:line="360" w:lineRule="exact"/>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提供中标（成交）公示网站截图、中标通知书及合同协议书（时间以合同签订的时间为准）。</w:t>
            </w:r>
          </w:p>
        </w:tc>
      </w:tr>
      <w:tr w14:paraId="17650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6" w:type="dxa"/>
            <w:vMerge w:val="continue"/>
            <w:noWrap w:val="0"/>
            <w:vAlign w:val="center"/>
          </w:tcPr>
          <w:p w14:paraId="229B85AB">
            <w:pPr>
              <w:pStyle w:val="19"/>
              <w:rPr>
                <w:rFonts w:hint="eastAsia" w:asciiTheme="minorEastAsia" w:hAnsiTheme="minorEastAsia" w:eastAsiaTheme="minorEastAsia" w:cstheme="minorEastAsia"/>
                <w:color w:val="auto"/>
                <w:sz w:val="21"/>
                <w:szCs w:val="21"/>
                <w:highlight w:val="none"/>
              </w:rPr>
            </w:pPr>
          </w:p>
        </w:tc>
        <w:tc>
          <w:tcPr>
            <w:tcW w:w="1183" w:type="dxa"/>
            <w:tcBorders>
              <w:top w:val="single" w:color="auto" w:sz="4" w:space="0"/>
            </w:tcBorders>
            <w:noWrap w:val="0"/>
            <w:vAlign w:val="center"/>
          </w:tcPr>
          <w:p w14:paraId="1E772508">
            <w:pPr>
              <w:keepNext w:val="0"/>
              <w:keepLines w:val="0"/>
              <w:pageBreakBefore w:val="0"/>
              <w:kinsoku/>
              <w:wordWrap/>
              <w:overflowPunct/>
              <w:topLinePunct w:val="0"/>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森林防火专业（半专业）队伍</w:t>
            </w:r>
          </w:p>
        </w:tc>
        <w:tc>
          <w:tcPr>
            <w:tcW w:w="897" w:type="dxa"/>
            <w:noWrap w:val="0"/>
            <w:vAlign w:val="center"/>
          </w:tcPr>
          <w:p w14:paraId="5FDBFDCB">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5分</w:t>
            </w:r>
          </w:p>
        </w:tc>
        <w:tc>
          <w:tcPr>
            <w:tcW w:w="5000" w:type="dxa"/>
            <w:noWrap w:val="0"/>
            <w:vAlign w:val="center"/>
          </w:tcPr>
          <w:p w14:paraId="7381427B">
            <w:pPr>
              <w:keepNext w:val="0"/>
              <w:keepLines w:val="0"/>
              <w:pageBreakBefore w:val="0"/>
              <w:kinsoku/>
              <w:wordWrap/>
              <w:overflowPunct/>
              <w:topLinePunct w:val="0"/>
              <w:autoSpaceDE/>
              <w:autoSpaceDN/>
              <w:bidi w:val="0"/>
              <w:spacing w:line="400" w:lineRule="exact"/>
              <w:textAlignment w:val="auto"/>
              <w:rPr>
                <w:rFonts w:hint="default" w:asciiTheme="minorEastAsia" w:hAnsiTheme="minorEastAsia" w:eastAsiaTheme="minorEastAsia" w:cstheme="minorEastAsia"/>
                <w:color w:val="000000"/>
                <w:kern w:val="0"/>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具有防火专业队伍（</w:t>
            </w:r>
            <w:r>
              <w:rPr>
                <w:rFonts w:hint="eastAsia" w:asciiTheme="minorEastAsia" w:hAnsiTheme="minorEastAsia" w:eastAsiaTheme="minorEastAsia" w:cstheme="minorEastAsia"/>
                <w:color w:val="000000"/>
                <w:kern w:val="0"/>
                <w:sz w:val="21"/>
                <w:szCs w:val="21"/>
                <w:highlight w:val="none"/>
                <w:lang w:val="en-US" w:eastAsia="zh-CN"/>
              </w:rPr>
              <w:t>提供县级及以上政府部门出具的相关文件</w:t>
            </w:r>
            <w:r>
              <w:rPr>
                <w:rFonts w:hint="eastAsia" w:asciiTheme="minorEastAsia" w:hAnsiTheme="minorEastAsia" w:eastAsiaTheme="minorEastAsia" w:cstheme="minorEastAsia"/>
                <w:color w:val="auto"/>
                <w:kern w:val="2"/>
                <w:sz w:val="21"/>
                <w:szCs w:val="21"/>
                <w:highlight w:val="none"/>
                <w:lang w:val="en-US" w:eastAsia="zh-CN" w:bidi="ar-SA"/>
              </w:rPr>
              <w:t>）</w:t>
            </w:r>
            <w:r>
              <w:rPr>
                <w:rFonts w:hint="eastAsia" w:asciiTheme="minorEastAsia" w:hAnsiTheme="minorEastAsia" w:eastAsiaTheme="minorEastAsia" w:cstheme="minorEastAsia"/>
                <w:color w:val="000000"/>
                <w:kern w:val="0"/>
                <w:sz w:val="21"/>
                <w:szCs w:val="21"/>
                <w:highlight w:val="none"/>
                <w:lang w:val="en-US" w:eastAsia="zh-CN"/>
              </w:rPr>
              <w:t>5分。</w:t>
            </w:r>
          </w:p>
          <w:p w14:paraId="7DD61B92">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rPr>
              <w:t>具有半</w:t>
            </w:r>
            <w:r>
              <w:rPr>
                <w:rFonts w:hint="eastAsia" w:asciiTheme="minorEastAsia" w:hAnsiTheme="minorEastAsia" w:eastAsiaTheme="minorEastAsia" w:cstheme="minorEastAsia"/>
                <w:color w:val="auto"/>
                <w:kern w:val="2"/>
                <w:sz w:val="21"/>
                <w:szCs w:val="21"/>
                <w:highlight w:val="none"/>
                <w:lang w:val="en-US" w:eastAsia="zh-CN" w:bidi="ar-SA"/>
              </w:rPr>
              <w:t>专业队伍（</w:t>
            </w:r>
            <w:r>
              <w:rPr>
                <w:rFonts w:hint="eastAsia" w:asciiTheme="minorEastAsia" w:hAnsiTheme="minorEastAsia" w:eastAsiaTheme="minorEastAsia" w:cstheme="minorEastAsia"/>
                <w:color w:val="000000"/>
                <w:kern w:val="0"/>
                <w:sz w:val="21"/>
                <w:szCs w:val="21"/>
                <w:highlight w:val="none"/>
                <w:lang w:val="en-US" w:eastAsia="zh-CN"/>
              </w:rPr>
              <w:t>提供林业部门出具的相关证明文件</w:t>
            </w:r>
            <w:r>
              <w:rPr>
                <w:rFonts w:hint="eastAsia" w:asciiTheme="minorEastAsia" w:hAnsiTheme="minorEastAsia" w:eastAsiaTheme="minorEastAsia" w:cstheme="minorEastAsia"/>
                <w:color w:val="auto"/>
                <w:kern w:val="2"/>
                <w:sz w:val="21"/>
                <w:szCs w:val="21"/>
                <w:highlight w:val="none"/>
                <w:lang w:val="en-US" w:eastAsia="zh-CN" w:bidi="ar-SA"/>
              </w:rPr>
              <w:t>）</w:t>
            </w:r>
            <w:r>
              <w:rPr>
                <w:rFonts w:hint="eastAsia" w:asciiTheme="minorEastAsia" w:hAnsiTheme="minorEastAsia" w:eastAsiaTheme="minorEastAsia" w:cstheme="minorEastAsia"/>
                <w:color w:val="000000"/>
                <w:kern w:val="0"/>
                <w:sz w:val="21"/>
                <w:szCs w:val="21"/>
                <w:highlight w:val="none"/>
                <w:lang w:val="en-US" w:eastAsia="zh-CN"/>
              </w:rPr>
              <w:t>2分。</w:t>
            </w:r>
          </w:p>
        </w:tc>
      </w:tr>
      <w:tr w14:paraId="73119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6" w:type="dxa"/>
            <w:vMerge w:val="continue"/>
            <w:noWrap w:val="0"/>
            <w:vAlign w:val="center"/>
          </w:tcPr>
          <w:p w14:paraId="30D44350">
            <w:pPr>
              <w:pStyle w:val="19"/>
              <w:rPr>
                <w:rFonts w:hint="eastAsia" w:asciiTheme="minorEastAsia" w:hAnsiTheme="minorEastAsia" w:eastAsiaTheme="minorEastAsia" w:cstheme="minorEastAsia"/>
                <w:color w:val="auto"/>
                <w:sz w:val="21"/>
                <w:szCs w:val="21"/>
                <w:highlight w:val="none"/>
              </w:rPr>
            </w:pPr>
          </w:p>
        </w:tc>
        <w:tc>
          <w:tcPr>
            <w:tcW w:w="1183" w:type="dxa"/>
            <w:tcBorders>
              <w:top w:val="single" w:color="auto" w:sz="4" w:space="0"/>
            </w:tcBorders>
            <w:noWrap w:val="0"/>
            <w:vAlign w:val="center"/>
          </w:tcPr>
          <w:p w14:paraId="4771072A">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SA"/>
              </w:rPr>
              <w:t>服务能力保障</w:t>
            </w:r>
          </w:p>
        </w:tc>
        <w:tc>
          <w:tcPr>
            <w:tcW w:w="897" w:type="dxa"/>
            <w:noWrap w:val="0"/>
            <w:vAlign w:val="center"/>
          </w:tcPr>
          <w:p w14:paraId="5E1E6A1C">
            <w:pPr>
              <w:pStyle w:val="1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11分</w:t>
            </w:r>
          </w:p>
        </w:tc>
        <w:tc>
          <w:tcPr>
            <w:tcW w:w="5000" w:type="dxa"/>
            <w:noWrap w:val="0"/>
            <w:vAlign w:val="center"/>
          </w:tcPr>
          <w:p w14:paraId="2AC75CF5">
            <w:pPr>
              <w:keepNext w:val="0"/>
              <w:keepLines w:val="0"/>
              <w:pageBreakBefore w:val="0"/>
              <w:numPr>
                <w:ilvl w:val="0"/>
                <w:numId w:val="0"/>
              </w:numPr>
              <w:kinsoku/>
              <w:wordWrap/>
              <w:overflowPunct/>
              <w:topLinePunct w:val="0"/>
              <w:bidi w:val="0"/>
              <w:adjustRightInd/>
              <w:snapToGrid/>
              <w:spacing w:line="360" w:lineRule="exact"/>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w:t>
            </w:r>
            <w:r>
              <w:rPr>
                <w:rFonts w:hint="eastAsia" w:asciiTheme="minorEastAsia" w:hAnsiTheme="minorEastAsia" w:eastAsiaTheme="minorEastAsia" w:cstheme="minorEastAsia"/>
                <w:b/>
                <w:bCs/>
                <w:color w:val="auto"/>
                <w:kern w:val="2"/>
                <w:sz w:val="21"/>
                <w:szCs w:val="21"/>
                <w:highlight w:val="none"/>
                <w:lang w:val="en-US" w:eastAsia="zh-CN" w:bidi="ar-SA"/>
              </w:rPr>
              <w:t>项目负责人</w:t>
            </w:r>
            <w:r>
              <w:rPr>
                <w:rFonts w:hint="eastAsia" w:asciiTheme="minorEastAsia" w:hAnsiTheme="minorEastAsia" w:eastAsiaTheme="minorEastAsia" w:cstheme="minorEastAsia"/>
                <w:color w:val="auto"/>
                <w:kern w:val="2"/>
                <w:sz w:val="21"/>
                <w:szCs w:val="21"/>
                <w:highlight w:val="none"/>
                <w:lang w:val="en-US" w:eastAsia="zh-CN" w:bidi="ar-SA"/>
              </w:rPr>
              <w:t>具有林业方面中级及以上职称（含技师）的，得3分。</w:t>
            </w:r>
          </w:p>
          <w:p w14:paraId="4E2E9E9A">
            <w:pPr>
              <w:keepNext w:val="0"/>
              <w:keepLines w:val="0"/>
              <w:pageBreakBefore w:val="0"/>
              <w:numPr>
                <w:ilvl w:val="0"/>
                <w:numId w:val="0"/>
              </w:numPr>
              <w:kinsoku/>
              <w:wordWrap/>
              <w:overflowPunct/>
              <w:topLinePunct w:val="0"/>
              <w:bidi w:val="0"/>
              <w:adjustRightInd/>
              <w:snapToGrid/>
              <w:spacing w:line="360" w:lineRule="exact"/>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w:t>
            </w:r>
            <w:r>
              <w:rPr>
                <w:rFonts w:hint="eastAsia" w:asciiTheme="minorEastAsia" w:hAnsiTheme="minorEastAsia" w:eastAsiaTheme="minorEastAsia" w:cstheme="minorEastAsia"/>
                <w:b/>
                <w:bCs/>
                <w:color w:val="auto"/>
                <w:kern w:val="2"/>
                <w:sz w:val="21"/>
                <w:szCs w:val="21"/>
                <w:highlight w:val="none"/>
                <w:lang w:val="en-US" w:eastAsia="zh-CN" w:bidi="ar-SA"/>
              </w:rPr>
              <w:t>技术负责人</w:t>
            </w:r>
            <w:r>
              <w:rPr>
                <w:rFonts w:hint="eastAsia" w:asciiTheme="minorEastAsia" w:hAnsiTheme="minorEastAsia" w:eastAsiaTheme="minorEastAsia" w:cstheme="minorEastAsia"/>
                <w:color w:val="auto"/>
                <w:kern w:val="2"/>
                <w:sz w:val="21"/>
                <w:szCs w:val="21"/>
                <w:highlight w:val="none"/>
                <w:lang w:val="en-US" w:eastAsia="zh-CN" w:bidi="ar-SA"/>
              </w:rPr>
              <w:t>具有林业方面高级职称的，得3分；</w:t>
            </w:r>
          </w:p>
          <w:p w14:paraId="45587A0D">
            <w:pPr>
              <w:keepNext w:val="0"/>
              <w:keepLines w:val="0"/>
              <w:pageBreakBefore w:val="0"/>
              <w:numPr>
                <w:ilvl w:val="0"/>
                <w:numId w:val="0"/>
              </w:numPr>
              <w:kinsoku/>
              <w:wordWrap/>
              <w:overflowPunct/>
              <w:topLinePunct w:val="0"/>
              <w:bidi w:val="0"/>
              <w:adjustRightInd/>
              <w:snapToGrid/>
              <w:spacing w:line="360" w:lineRule="exact"/>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中级职称的，得2分；本项最多得3分。</w:t>
            </w:r>
          </w:p>
          <w:p w14:paraId="01BB12CE">
            <w:pPr>
              <w:keepNext w:val="0"/>
              <w:keepLines w:val="0"/>
              <w:pageBreakBefore w:val="0"/>
              <w:numPr>
                <w:ilvl w:val="0"/>
                <w:numId w:val="0"/>
              </w:numPr>
              <w:kinsoku/>
              <w:wordWrap/>
              <w:overflowPunct/>
              <w:topLinePunct w:val="0"/>
              <w:bidi w:val="0"/>
              <w:adjustRightInd/>
              <w:snapToGrid/>
              <w:spacing w:line="360" w:lineRule="exact"/>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w:t>
            </w:r>
            <w:r>
              <w:rPr>
                <w:rFonts w:hint="eastAsia" w:asciiTheme="minorEastAsia" w:hAnsiTheme="minorEastAsia" w:eastAsiaTheme="minorEastAsia" w:cstheme="minorEastAsia"/>
                <w:b/>
                <w:bCs/>
                <w:color w:val="auto"/>
                <w:kern w:val="2"/>
                <w:sz w:val="21"/>
                <w:szCs w:val="21"/>
                <w:highlight w:val="none"/>
                <w:lang w:val="en-US" w:eastAsia="zh-CN" w:bidi="ar-SA"/>
              </w:rPr>
              <w:t>项目管理机构其他人员</w:t>
            </w:r>
            <w:r>
              <w:rPr>
                <w:rFonts w:hint="eastAsia" w:asciiTheme="minorEastAsia" w:hAnsiTheme="minorEastAsia" w:eastAsiaTheme="minorEastAsia" w:cstheme="minorEastAsia"/>
                <w:color w:val="auto"/>
                <w:kern w:val="2"/>
                <w:sz w:val="21"/>
                <w:szCs w:val="21"/>
                <w:highlight w:val="none"/>
                <w:lang w:val="en-US" w:eastAsia="zh-CN" w:bidi="ar-SA"/>
              </w:rPr>
              <w:t>具有林业方面中级及以上职称（含技师）的每个人员得0.5分，最多得4分。</w:t>
            </w:r>
          </w:p>
          <w:p w14:paraId="1A927F85">
            <w:pPr>
              <w:keepNext w:val="0"/>
              <w:keepLines w:val="0"/>
              <w:pageBreakBefore w:val="0"/>
              <w:numPr>
                <w:ilvl w:val="0"/>
                <w:numId w:val="0"/>
              </w:numPr>
              <w:kinsoku/>
              <w:wordWrap/>
              <w:overflowPunct/>
              <w:topLinePunct w:val="0"/>
              <w:bidi w:val="0"/>
              <w:adjustRightInd/>
              <w:snapToGrid/>
              <w:spacing w:line="360" w:lineRule="exact"/>
              <w:ind w:leftChars="0"/>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4</w:t>
            </w:r>
            <w:r>
              <w:rPr>
                <w:rFonts w:hint="eastAsia" w:asciiTheme="minorEastAsia" w:hAnsiTheme="minorEastAsia" w:eastAsiaTheme="minorEastAsia" w:cstheme="minorEastAsia"/>
                <w:b/>
                <w:bCs/>
                <w:color w:val="auto"/>
                <w:kern w:val="2"/>
                <w:sz w:val="21"/>
                <w:szCs w:val="21"/>
                <w:highlight w:val="none"/>
                <w:lang w:val="en-US" w:eastAsia="zh-CN" w:bidi="ar-SA"/>
              </w:rPr>
              <w:t>.项目管理机构人员配备情况</w:t>
            </w:r>
            <w:r>
              <w:rPr>
                <w:rFonts w:hint="eastAsia" w:asciiTheme="minorEastAsia" w:hAnsiTheme="minorEastAsia" w:eastAsiaTheme="minorEastAsia" w:cstheme="minorEastAsia"/>
                <w:color w:val="auto"/>
                <w:kern w:val="2"/>
                <w:sz w:val="21"/>
                <w:szCs w:val="21"/>
                <w:highlight w:val="none"/>
                <w:lang w:val="en-US" w:eastAsia="zh-CN" w:bidi="ar-SA"/>
              </w:rPr>
              <w:t>：人员配备合理，满足需要得1分；人员配备基本合理，基本满足需要得0.5分；人员配备不合理得0分。本项最多得1分。</w:t>
            </w:r>
          </w:p>
          <w:p w14:paraId="799D334C">
            <w:pPr>
              <w:keepNext w:val="0"/>
              <w:keepLines w:val="0"/>
              <w:pageBreakBefore w:val="0"/>
              <w:numPr>
                <w:ilvl w:val="0"/>
                <w:numId w:val="0"/>
              </w:numPr>
              <w:kinsoku/>
              <w:wordWrap/>
              <w:overflowPunct/>
              <w:topLinePunct w:val="0"/>
              <w:bidi w:val="0"/>
              <w:adjustRightInd/>
              <w:snapToGrid/>
              <w:spacing w:line="360" w:lineRule="exact"/>
              <w:ind w:leftChars="0"/>
              <w:jc w:val="left"/>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注：1.提供以上人员相关证书及近3个月社保证明。</w:t>
            </w:r>
          </w:p>
          <w:p w14:paraId="7344ECAF">
            <w:pPr>
              <w:keepNext w:val="0"/>
              <w:keepLines w:val="0"/>
              <w:pageBreakBefore w:val="0"/>
              <w:numPr>
                <w:ilvl w:val="0"/>
                <w:numId w:val="0"/>
              </w:numPr>
              <w:kinsoku/>
              <w:wordWrap/>
              <w:overflowPunct/>
              <w:topLinePunct w:val="0"/>
              <w:bidi w:val="0"/>
              <w:adjustRightInd/>
              <w:snapToGrid/>
              <w:spacing w:line="360" w:lineRule="exact"/>
              <w:ind w:leftChars="0"/>
              <w:jc w:val="left"/>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 xml:space="preserve">    2.以上人员不得相互兼任。</w:t>
            </w:r>
          </w:p>
        </w:tc>
      </w:tr>
      <w:tr w14:paraId="28247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16" w:type="dxa"/>
            <w:vMerge w:val="continue"/>
            <w:noWrap w:val="0"/>
            <w:vAlign w:val="center"/>
          </w:tcPr>
          <w:p w14:paraId="14274E1B">
            <w:pPr>
              <w:pStyle w:val="19"/>
              <w:rPr>
                <w:rFonts w:hint="eastAsia" w:asciiTheme="minorEastAsia" w:hAnsiTheme="minorEastAsia" w:eastAsiaTheme="minorEastAsia" w:cstheme="minorEastAsia"/>
                <w:color w:val="auto"/>
                <w:sz w:val="21"/>
                <w:szCs w:val="21"/>
                <w:highlight w:val="none"/>
              </w:rPr>
            </w:pPr>
          </w:p>
        </w:tc>
        <w:tc>
          <w:tcPr>
            <w:tcW w:w="1183" w:type="dxa"/>
            <w:tcBorders>
              <w:top w:val="single" w:color="auto" w:sz="4" w:space="0"/>
            </w:tcBorders>
            <w:noWrap w:val="0"/>
            <w:vAlign w:val="center"/>
          </w:tcPr>
          <w:p w14:paraId="1891B38D">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SA"/>
              </w:rPr>
              <w:t>相关承诺</w:t>
            </w:r>
          </w:p>
        </w:tc>
        <w:tc>
          <w:tcPr>
            <w:tcW w:w="897" w:type="dxa"/>
            <w:noWrap w:val="0"/>
            <w:vAlign w:val="center"/>
          </w:tcPr>
          <w:p w14:paraId="3F1DCDC9">
            <w:pPr>
              <w:pStyle w:val="1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2分</w:t>
            </w:r>
          </w:p>
        </w:tc>
        <w:tc>
          <w:tcPr>
            <w:tcW w:w="5000" w:type="dxa"/>
            <w:noWrap w:val="0"/>
            <w:vAlign w:val="center"/>
          </w:tcPr>
          <w:p w14:paraId="28D42186">
            <w:pPr>
              <w:keepNext w:val="0"/>
              <w:keepLines w:val="0"/>
              <w:pageBreakBefore w:val="0"/>
              <w:widowControl/>
              <w:numPr>
                <w:ilvl w:val="0"/>
                <w:numId w:val="0"/>
              </w:numPr>
              <w:kinsoku/>
              <w:wordWrap/>
              <w:overflowPunct/>
              <w:topLinePunct w:val="0"/>
              <w:bidi w:val="0"/>
              <w:adjustRightInd/>
              <w:snapToGrid/>
              <w:spacing w:line="36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1.承诺有专门针对本项目的资金管理计划及措施，规范、清晰合理运行。有增加低收入人群经济收入，促进低收入人群就业的具体措施，得1分。</w:t>
            </w:r>
          </w:p>
          <w:p w14:paraId="7F25EE57">
            <w:pPr>
              <w:keepNext w:val="0"/>
              <w:keepLines w:val="0"/>
              <w:pageBreakBefore w:val="0"/>
              <w:widowControl/>
              <w:numPr>
                <w:ilvl w:val="0"/>
                <w:numId w:val="0"/>
              </w:numPr>
              <w:kinsoku/>
              <w:wordWrap/>
              <w:overflowPunct/>
              <w:topLinePunct w:val="0"/>
              <w:bidi w:val="0"/>
              <w:adjustRightInd/>
              <w:snapToGrid/>
              <w:spacing w:line="36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2、承诺森林失火能0.5小时到达的得1分；1小时内到达的得0.5分；超过1小时的得0.2分。最多得1分。</w:t>
            </w:r>
          </w:p>
        </w:tc>
      </w:tr>
      <w:tr w14:paraId="2D0B0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6" w:type="dxa"/>
            <w:vMerge w:val="restart"/>
            <w:noWrap w:val="0"/>
            <w:vAlign w:val="center"/>
          </w:tcPr>
          <w:p w14:paraId="2F10DFB2">
            <w:pPr>
              <w:pStyle w:val="1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技术部分</w:t>
            </w:r>
          </w:p>
          <w:p w14:paraId="67E441F4">
            <w:pPr>
              <w:pStyle w:val="1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56</w:t>
            </w:r>
            <w:r>
              <w:rPr>
                <w:rFonts w:hint="eastAsia" w:asciiTheme="minorEastAsia" w:hAnsiTheme="minorEastAsia" w:eastAsiaTheme="minorEastAsia" w:cstheme="minorEastAsia"/>
                <w:color w:val="auto"/>
                <w:sz w:val="21"/>
                <w:szCs w:val="21"/>
                <w:highlight w:val="none"/>
              </w:rPr>
              <w:t>分）</w:t>
            </w:r>
          </w:p>
        </w:tc>
        <w:tc>
          <w:tcPr>
            <w:tcW w:w="1183" w:type="dxa"/>
            <w:tcBorders>
              <w:top w:val="single" w:color="auto" w:sz="4" w:space="0"/>
            </w:tcBorders>
            <w:noWrap w:val="0"/>
            <w:vAlign w:val="center"/>
          </w:tcPr>
          <w:p w14:paraId="0FA77A09">
            <w:pPr>
              <w:pStyle w:val="1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服务理念和目标</w:t>
            </w:r>
          </w:p>
        </w:tc>
        <w:tc>
          <w:tcPr>
            <w:tcW w:w="897" w:type="dxa"/>
            <w:noWrap w:val="0"/>
            <w:vAlign w:val="center"/>
          </w:tcPr>
          <w:p w14:paraId="0B30B0DE">
            <w:pPr>
              <w:pStyle w:val="1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10分</w:t>
            </w:r>
          </w:p>
        </w:tc>
        <w:tc>
          <w:tcPr>
            <w:tcW w:w="5000" w:type="dxa"/>
            <w:noWrap w:val="0"/>
            <w:vAlign w:val="center"/>
          </w:tcPr>
          <w:p w14:paraId="687AC423">
            <w:pPr>
              <w:pStyle w:val="1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所提供的服务理念和目标</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结合采购需求</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的合理性、全面性，对比给分，符合项目政策需要和实施地实际情况；</w:t>
            </w:r>
          </w:p>
          <w:p w14:paraId="5AFBF24D">
            <w:pPr>
              <w:pStyle w:val="1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全面</w:t>
            </w:r>
            <w:r>
              <w:rPr>
                <w:rFonts w:hint="eastAsia" w:asciiTheme="minorEastAsia" w:hAnsiTheme="minorEastAsia" w:eastAsiaTheme="minorEastAsia" w:cstheme="minorEastAsia"/>
                <w:color w:val="auto"/>
                <w:sz w:val="21"/>
                <w:szCs w:val="21"/>
                <w:highlight w:val="none"/>
                <w:lang w:val="en-US" w:eastAsia="zh-CN"/>
              </w:rPr>
              <w:t>科学</w:t>
            </w:r>
            <w:r>
              <w:rPr>
                <w:rFonts w:hint="eastAsia" w:asciiTheme="minorEastAsia" w:hAnsiTheme="minorEastAsia" w:eastAsiaTheme="minorEastAsia" w:cstheme="minorEastAsia"/>
                <w:color w:val="auto"/>
                <w:sz w:val="21"/>
                <w:szCs w:val="21"/>
                <w:highlight w:val="none"/>
              </w:rPr>
              <w:t>合理的</w:t>
            </w:r>
            <w:r>
              <w:rPr>
                <w:rFonts w:hint="eastAsia" w:asciiTheme="minorEastAsia" w:hAnsiTheme="minorEastAsia" w:eastAsiaTheme="minorEastAsia" w:cstheme="minorEastAsia"/>
                <w:color w:val="auto"/>
                <w:sz w:val="21"/>
                <w:szCs w:val="21"/>
                <w:highlight w:val="none"/>
                <w:lang w:val="en-US" w:eastAsia="zh-CN"/>
              </w:rPr>
              <w:t>得10</w:t>
            </w:r>
            <w:r>
              <w:rPr>
                <w:rFonts w:hint="eastAsia" w:asciiTheme="minorEastAsia" w:hAnsiTheme="minorEastAsia" w:eastAsiaTheme="minorEastAsia" w:cstheme="minorEastAsia"/>
                <w:color w:val="auto"/>
                <w:sz w:val="21"/>
                <w:szCs w:val="21"/>
                <w:highlight w:val="none"/>
              </w:rPr>
              <w:t>分，满足的</w:t>
            </w:r>
            <w:r>
              <w:rPr>
                <w:rFonts w:hint="eastAsia" w:asciiTheme="minorEastAsia" w:hAnsiTheme="minorEastAsia" w:eastAsiaTheme="minorEastAsia" w:cstheme="minorEastAsia"/>
                <w:color w:val="auto"/>
                <w:sz w:val="21"/>
                <w:szCs w:val="21"/>
                <w:highlight w:val="none"/>
                <w:lang w:val="en-US" w:eastAsia="zh-CN"/>
              </w:rPr>
              <w:t>得8</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val="en-US" w:eastAsia="zh-CN"/>
              </w:rPr>
              <w:t xml:space="preserve"> 基本满足得6分，欠合理的得3分，不合理得0分。</w:t>
            </w:r>
          </w:p>
        </w:tc>
      </w:tr>
      <w:tr w14:paraId="2BA4D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6" w:type="dxa"/>
            <w:vMerge w:val="continue"/>
            <w:noWrap w:val="0"/>
            <w:vAlign w:val="center"/>
          </w:tcPr>
          <w:p w14:paraId="1C68FF99">
            <w:pPr>
              <w:pStyle w:val="19"/>
              <w:rPr>
                <w:rFonts w:hint="eastAsia" w:asciiTheme="minorEastAsia" w:hAnsiTheme="minorEastAsia" w:eastAsiaTheme="minorEastAsia" w:cstheme="minorEastAsia"/>
                <w:color w:val="auto"/>
                <w:sz w:val="21"/>
                <w:szCs w:val="21"/>
                <w:highlight w:val="none"/>
              </w:rPr>
            </w:pPr>
          </w:p>
        </w:tc>
        <w:tc>
          <w:tcPr>
            <w:tcW w:w="1183" w:type="dxa"/>
            <w:noWrap w:val="0"/>
            <w:vAlign w:val="center"/>
          </w:tcPr>
          <w:p w14:paraId="7A415421">
            <w:pPr>
              <w:pStyle w:val="1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实施方案</w:t>
            </w:r>
          </w:p>
        </w:tc>
        <w:tc>
          <w:tcPr>
            <w:tcW w:w="897" w:type="dxa"/>
            <w:noWrap w:val="0"/>
            <w:vAlign w:val="center"/>
          </w:tcPr>
          <w:p w14:paraId="07956977">
            <w:pPr>
              <w:pStyle w:val="1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10分</w:t>
            </w:r>
          </w:p>
        </w:tc>
        <w:tc>
          <w:tcPr>
            <w:tcW w:w="5000" w:type="dxa"/>
            <w:noWrap w:val="0"/>
            <w:vAlign w:val="center"/>
          </w:tcPr>
          <w:p w14:paraId="20CB8384">
            <w:pPr>
              <w:pStyle w:val="1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项目总体实施方案、计划编制、关键节点的控制措施全面进行综合评议：</w:t>
            </w:r>
          </w:p>
          <w:p w14:paraId="56ED4551">
            <w:pPr>
              <w:pStyle w:val="1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全面</w:t>
            </w:r>
            <w:r>
              <w:rPr>
                <w:rFonts w:hint="eastAsia" w:asciiTheme="minorEastAsia" w:hAnsiTheme="minorEastAsia" w:eastAsiaTheme="minorEastAsia" w:cstheme="minorEastAsia"/>
                <w:color w:val="auto"/>
                <w:sz w:val="21"/>
                <w:szCs w:val="21"/>
                <w:highlight w:val="none"/>
                <w:lang w:val="en-US" w:eastAsia="zh-CN"/>
              </w:rPr>
              <w:t>科学</w:t>
            </w:r>
            <w:r>
              <w:rPr>
                <w:rFonts w:hint="eastAsia" w:asciiTheme="minorEastAsia" w:hAnsiTheme="minorEastAsia" w:eastAsiaTheme="minorEastAsia" w:cstheme="minorEastAsia"/>
                <w:color w:val="auto"/>
                <w:sz w:val="21"/>
                <w:szCs w:val="21"/>
                <w:highlight w:val="none"/>
              </w:rPr>
              <w:t>合理的</w:t>
            </w:r>
            <w:r>
              <w:rPr>
                <w:rFonts w:hint="eastAsia" w:asciiTheme="minorEastAsia" w:hAnsiTheme="minorEastAsia" w:eastAsiaTheme="minorEastAsia" w:cstheme="minorEastAsia"/>
                <w:color w:val="auto"/>
                <w:sz w:val="21"/>
                <w:szCs w:val="21"/>
                <w:highlight w:val="none"/>
                <w:lang w:val="en-US" w:eastAsia="zh-CN"/>
              </w:rPr>
              <w:t>得10</w:t>
            </w:r>
            <w:r>
              <w:rPr>
                <w:rFonts w:hint="eastAsia" w:asciiTheme="minorEastAsia" w:hAnsiTheme="minorEastAsia" w:eastAsiaTheme="minorEastAsia" w:cstheme="minorEastAsia"/>
                <w:color w:val="auto"/>
                <w:sz w:val="21"/>
                <w:szCs w:val="21"/>
                <w:highlight w:val="none"/>
              </w:rPr>
              <w:t>分，满足的</w:t>
            </w:r>
            <w:r>
              <w:rPr>
                <w:rFonts w:hint="eastAsia" w:asciiTheme="minorEastAsia" w:hAnsiTheme="minorEastAsia" w:eastAsiaTheme="minorEastAsia" w:cstheme="minorEastAsia"/>
                <w:color w:val="auto"/>
                <w:sz w:val="21"/>
                <w:szCs w:val="21"/>
                <w:highlight w:val="none"/>
                <w:lang w:val="en-US" w:eastAsia="zh-CN"/>
              </w:rPr>
              <w:t>得8</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val="en-US" w:eastAsia="zh-CN"/>
              </w:rPr>
              <w:t xml:space="preserve"> 基本满足得6分，欠合理的得3分，不合理得0分。</w:t>
            </w:r>
          </w:p>
        </w:tc>
      </w:tr>
      <w:tr w14:paraId="1EE27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6" w:type="dxa"/>
            <w:vMerge w:val="continue"/>
            <w:noWrap w:val="0"/>
            <w:vAlign w:val="center"/>
          </w:tcPr>
          <w:p w14:paraId="72834562">
            <w:pPr>
              <w:pStyle w:val="19"/>
              <w:rPr>
                <w:rFonts w:hint="eastAsia" w:asciiTheme="minorEastAsia" w:hAnsiTheme="minorEastAsia" w:eastAsiaTheme="minorEastAsia" w:cstheme="minorEastAsia"/>
                <w:color w:val="auto"/>
                <w:sz w:val="21"/>
                <w:szCs w:val="21"/>
                <w:highlight w:val="none"/>
              </w:rPr>
            </w:pPr>
          </w:p>
        </w:tc>
        <w:tc>
          <w:tcPr>
            <w:tcW w:w="1183" w:type="dxa"/>
            <w:tcBorders>
              <w:top w:val="single" w:color="auto" w:sz="4" w:space="0"/>
            </w:tcBorders>
            <w:noWrap w:val="0"/>
            <w:vAlign w:val="center"/>
          </w:tcPr>
          <w:p w14:paraId="158F737A">
            <w:pPr>
              <w:spacing w:before="75" w:line="191"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进度控制措施</w:t>
            </w:r>
          </w:p>
          <w:p w14:paraId="61156E75">
            <w:pPr>
              <w:pStyle w:val="19"/>
              <w:rPr>
                <w:rFonts w:hint="eastAsia" w:asciiTheme="minorEastAsia" w:hAnsiTheme="minorEastAsia" w:eastAsiaTheme="minorEastAsia" w:cstheme="minorEastAsia"/>
                <w:color w:val="auto"/>
                <w:kern w:val="2"/>
                <w:sz w:val="21"/>
                <w:szCs w:val="21"/>
                <w:highlight w:val="none"/>
                <w:lang w:val="en-US" w:eastAsia="zh-CN" w:bidi="ar-SA"/>
              </w:rPr>
            </w:pPr>
          </w:p>
        </w:tc>
        <w:tc>
          <w:tcPr>
            <w:tcW w:w="897" w:type="dxa"/>
            <w:noWrap w:val="0"/>
            <w:vAlign w:val="center"/>
          </w:tcPr>
          <w:p w14:paraId="0E0CA0AE">
            <w:pPr>
              <w:pStyle w:val="1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10分</w:t>
            </w:r>
          </w:p>
        </w:tc>
        <w:tc>
          <w:tcPr>
            <w:tcW w:w="5000" w:type="dxa"/>
            <w:noWrap w:val="0"/>
            <w:vAlign w:val="center"/>
          </w:tcPr>
          <w:p w14:paraId="5872386E">
            <w:pPr>
              <w:spacing w:before="36" w:line="241" w:lineRule="auto"/>
              <w:ind w:right="26"/>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xml:space="preserve">进度安排科学合理，有完善的工期管理措施，项目实施进程安排详尽周密； </w:t>
            </w:r>
          </w:p>
          <w:p w14:paraId="79E5913F">
            <w:pPr>
              <w:spacing w:before="36" w:line="241" w:lineRule="auto"/>
              <w:ind w:right="26" w:right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全面</w:t>
            </w:r>
            <w:r>
              <w:rPr>
                <w:rFonts w:hint="eastAsia" w:asciiTheme="minorEastAsia" w:hAnsiTheme="minorEastAsia" w:eastAsiaTheme="minorEastAsia" w:cstheme="minorEastAsia"/>
                <w:color w:val="auto"/>
                <w:sz w:val="21"/>
                <w:szCs w:val="21"/>
                <w:highlight w:val="none"/>
                <w:lang w:val="en-US" w:eastAsia="zh-CN"/>
              </w:rPr>
              <w:t>科学</w:t>
            </w:r>
            <w:r>
              <w:rPr>
                <w:rFonts w:hint="eastAsia" w:asciiTheme="minorEastAsia" w:hAnsiTheme="minorEastAsia" w:eastAsiaTheme="minorEastAsia" w:cstheme="minorEastAsia"/>
                <w:color w:val="auto"/>
                <w:sz w:val="21"/>
                <w:szCs w:val="21"/>
                <w:highlight w:val="none"/>
              </w:rPr>
              <w:t>合理的</w:t>
            </w:r>
            <w:r>
              <w:rPr>
                <w:rFonts w:hint="eastAsia" w:asciiTheme="minorEastAsia" w:hAnsiTheme="minorEastAsia" w:eastAsiaTheme="minorEastAsia" w:cstheme="minorEastAsia"/>
                <w:color w:val="auto"/>
                <w:sz w:val="21"/>
                <w:szCs w:val="21"/>
                <w:highlight w:val="none"/>
                <w:lang w:val="en-US" w:eastAsia="zh-CN"/>
              </w:rPr>
              <w:t>得10</w:t>
            </w:r>
            <w:r>
              <w:rPr>
                <w:rFonts w:hint="eastAsia" w:asciiTheme="minorEastAsia" w:hAnsiTheme="minorEastAsia" w:eastAsiaTheme="minorEastAsia" w:cstheme="minorEastAsia"/>
                <w:color w:val="auto"/>
                <w:sz w:val="21"/>
                <w:szCs w:val="21"/>
                <w:highlight w:val="none"/>
              </w:rPr>
              <w:t>分，满足的</w:t>
            </w:r>
            <w:r>
              <w:rPr>
                <w:rFonts w:hint="eastAsia" w:asciiTheme="minorEastAsia" w:hAnsiTheme="minorEastAsia" w:eastAsiaTheme="minorEastAsia" w:cstheme="minorEastAsia"/>
                <w:color w:val="auto"/>
                <w:sz w:val="21"/>
                <w:szCs w:val="21"/>
                <w:highlight w:val="none"/>
                <w:lang w:val="en-US" w:eastAsia="zh-CN"/>
              </w:rPr>
              <w:t>得8</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val="en-US" w:eastAsia="zh-CN"/>
              </w:rPr>
              <w:t xml:space="preserve"> 基本满足得6分，欠合理的得3分，不合理得0分。</w:t>
            </w:r>
          </w:p>
        </w:tc>
      </w:tr>
      <w:tr w14:paraId="399F3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6" w:type="dxa"/>
            <w:vMerge w:val="continue"/>
            <w:noWrap w:val="0"/>
            <w:vAlign w:val="center"/>
          </w:tcPr>
          <w:p w14:paraId="17A930A9">
            <w:pPr>
              <w:pStyle w:val="19"/>
              <w:rPr>
                <w:rFonts w:hint="eastAsia" w:asciiTheme="minorEastAsia" w:hAnsiTheme="minorEastAsia" w:eastAsiaTheme="minorEastAsia" w:cstheme="minorEastAsia"/>
                <w:color w:val="auto"/>
                <w:sz w:val="21"/>
                <w:szCs w:val="21"/>
                <w:highlight w:val="none"/>
              </w:rPr>
            </w:pPr>
          </w:p>
        </w:tc>
        <w:tc>
          <w:tcPr>
            <w:tcW w:w="1183" w:type="dxa"/>
            <w:tcBorders>
              <w:top w:val="single" w:color="auto" w:sz="4" w:space="0"/>
            </w:tcBorders>
            <w:noWrap w:val="0"/>
            <w:vAlign w:val="center"/>
          </w:tcPr>
          <w:p w14:paraId="43F92712">
            <w:pPr>
              <w:spacing w:before="75" w:line="191"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质量保证措施</w:t>
            </w:r>
          </w:p>
          <w:p w14:paraId="24659745">
            <w:pPr>
              <w:pStyle w:val="19"/>
              <w:rPr>
                <w:rFonts w:hint="eastAsia" w:asciiTheme="minorEastAsia" w:hAnsiTheme="minorEastAsia" w:eastAsiaTheme="minorEastAsia" w:cstheme="minorEastAsia"/>
                <w:color w:val="auto"/>
                <w:kern w:val="2"/>
                <w:sz w:val="21"/>
                <w:szCs w:val="21"/>
                <w:highlight w:val="none"/>
                <w:lang w:val="en-US" w:eastAsia="zh-CN" w:bidi="ar-SA"/>
              </w:rPr>
            </w:pPr>
          </w:p>
        </w:tc>
        <w:tc>
          <w:tcPr>
            <w:tcW w:w="897" w:type="dxa"/>
            <w:noWrap w:val="0"/>
            <w:vAlign w:val="center"/>
          </w:tcPr>
          <w:p w14:paraId="32B4C846">
            <w:pPr>
              <w:pStyle w:val="1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10分</w:t>
            </w:r>
          </w:p>
        </w:tc>
        <w:tc>
          <w:tcPr>
            <w:tcW w:w="5000" w:type="dxa"/>
            <w:noWrap w:val="0"/>
            <w:vAlign w:val="center"/>
          </w:tcPr>
          <w:p w14:paraId="5FF30E8B">
            <w:pPr>
              <w:pStyle w:val="1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质量分解目标有明确的质量评测手段且提出相应的控制节点和相应的措施、质量控制的基本程序及预控措施合理、可行；</w:t>
            </w:r>
          </w:p>
          <w:p w14:paraId="02AC8797">
            <w:pPr>
              <w:pStyle w:val="1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全面</w:t>
            </w:r>
            <w:r>
              <w:rPr>
                <w:rFonts w:hint="eastAsia" w:asciiTheme="minorEastAsia" w:hAnsiTheme="minorEastAsia" w:eastAsiaTheme="minorEastAsia" w:cstheme="minorEastAsia"/>
                <w:color w:val="auto"/>
                <w:sz w:val="21"/>
                <w:szCs w:val="21"/>
                <w:highlight w:val="none"/>
                <w:lang w:val="en-US" w:eastAsia="zh-CN"/>
              </w:rPr>
              <w:t>科学</w:t>
            </w:r>
            <w:r>
              <w:rPr>
                <w:rFonts w:hint="eastAsia" w:asciiTheme="minorEastAsia" w:hAnsiTheme="minorEastAsia" w:eastAsiaTheme="minorEastAsia" w:cstheme="minorEastAsia"/>
                <w:color w:val="auto"/>
                <w:sz w:val="21"/>
                <w:szCs w:val="21"/>
                <w:highlight w:val="none"/>
              </w:rPr>
              <w:t>合理的</w:t>
            </w:r>
            <w:r>
              <w:rPr>
                <w:rFonts w:hint="eastAsia" w:asciiTheme="minorEastAsia" w:hAnsiTheme="minorEastAsia" w:eastAsiaTheme="minorEastAsia" w:cstheme="minorEastAsia"/>
                <w:color w:val="auto"/>
                <w:sz w:val="21"/>
                <w:szCs w:val="21"/>
                <w:highlight w:val="none"/>
                <w:lang w:val="en-US" w:eastAsia="zh-CN"/>
              </w:rPr>
              <w:t>得10</w:t>
            </w:r>
            <w:r>
              <w:rPr>
                <w:rFonts w:hint="eastAsia" w:asciiTheme="minorEastAsia" w:hAnsiTheme="minorEastAsia" w:eastAsiaTheme="minorEastAsia" w:cstheme="minorEastAsia"/>
                <w:color w:val="auto"/>
                <w:sz w:val="21"/>
                <w:szCs w:val="21"/>
                <w:highlight w:val="none"/>
              </w:rPr>
              <w:t>分，满足的</w:t>
            </w:r>
            <w:r>
              <w:rPr>
                <w:rFonts w:hint="eastAsia" w:asciiTheme="minorEastAsia" w:hAnsiTheme="minorEastAsia" w:eastAsiaTheme="minorEastAsia" w:cstheme="minorEastAsia"/>
                <w:color w:val="auto"/>
                <w:sz w:val="21"/>
                <w:szCs w:val="21"/>
                <w:highlight w:val="none"/>
                <w:lang w:val="en-US" w:eastAsia="zh-CN"/>
              </w:rPr>
              <w:t>得8</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val="en-US" w:eastAsia="zh-CN"/>
              </w:rPr>
              <w:t xml:space="preserve"> 基本满足得6分，欠合理的得3分，不合理得0分。</w:t>
            </w:r>
          </w:p>
        </w:tc>
      </w:tr>
      <w:tr w14:paraId="07FF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6" w:type="dxa"/>
            <w:vMerge w:val="continue"/>
            <w:noWrap w:val="0"/>
            <w:vAlign w:val="center"/>
          </w:tcPr>
          <w:p w14:paraId="2963C43E">
            <w:pPr>
              <w:pStyle w:val="19"/>
              <w:rPr>
                <w:rFonts w:hint="eastAsia" w:asciiTheme="minorEastAsia" w:hAnsiTheme="minorEastAsia" w:eastAsiaTheme="minorEastAsia" w:cstheme="minorEastAsia"/>
                <w:color w:val="auto"/>
                <w:sz w:val="21"/>
                <w:szCs w:val="21"/>
                <w:highlight w:val="none"/>
              </w:rPr>
            </w:pPr>
          </w:p>
        </w:tc>
        <w:tc>
          <w:tcPr>
            <w:tcW w:w="1183" w:type="dxa"/>
            <w:tcBorders>
              <w:top w:val="single" w:color="auto" w:sz="4" w:space="0"/>
            </w:tcBorders>
            <w:noWrap w:val="0"/>
            <w:vAlign w:val="center"/>
          </w:tcPr>
          <w:p w14:paraId="3BF1EA46">
            <w:pPr>
              <w:pStyle w:val="1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劳动力安排计划</w:t>
            </w:r>
          </w:p>
          <w:p w14:paraId="45A687CD">
            <w:pPr>
              <w:pStyle w:val="19"/>
              <w:rPr>
                <w:rFonts w:hint="eastAsia" w:asciiTheme="minorEastAsia" w:hAnsiTheme="minorEastAsia" w:eastAsiaTheme="minorEastAsia" w:cstheme="minorEastAsia"/>
                <w:color w:val="auto"/>
                <w:kern w:val="2"/>
                <w:sz w:val="21"/>
                <w:szCs w:val="21"/>
                <w:highlight w:val="none"/>
                <w:lang w:val="en-US" w:eastAsia="zh-CN" w:bidi="ar-SA"/>
              </w:rPr>
            </w:pPr>
          </w:p>
        </w:tc>
        <w:tc>
          <w:tcPr>
            <w:tcW w:w="897" w:type="dxa"/>
            <w:noWrap w:val="0"/>
            <w:vAlign w:val="center"/>
          </w:tcPr>
          <w:p w14:paraId="6F1884D7">
            <w:pPr>
              <w:pStyle w:val="1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8分</w:t>
            </w:r>
          </w:p>
        </w:tc>
        <w:tc>
          <w:tcPr>
            <w:tcW w:w="5000" w:type="dxa"/>
            <w:noWrap w:val="0"/>
            <w:vAlign w:val="center"/>
          </w:tcPr>
          <w:p w14:paraId="5D191571">
            <w:pPr>
              <w:pStyle w:val="22"/>
              <w:keepNext w:val="0"/>
              <w:keepLines w:val="0"/>
              <w:pageBreakBefore w:val="0"/>
              <w:kinsoku/>
              <w:wordWrap/>
              <w:overflowPunct/>
              <w:topLinePunct w:val="0"/>
              <w:bidi w:val="0"/>
              <w:adjustRightInd/>
              <w:snapToGrid/>
              <w:spacing w:line="360" w:lineRule="exact"/>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科学、合理、针对性强     8分；</w:t>
            </w:r>
          </w:p>
          <w:p w14:paraId="0EA05B39">
            <w:pPr>
              <w:pStyle w:val="22"/>
              <w:keepNext w:val="0"/>
              <w:keepLines w:val="0"/>
              <w:pageBreakBefore w:val="0"/>
              <w:kinsoku/>
              <w:wordWrap/>
              <w:overflowPunct/>
              <w:topLinePunct w:val="0"/>
              <w:bidi w:val="0"/>
              <w:adjustRightInd/>
              <w:snapToGrid/>
              <w:spacing w:line="360" w:lineRule="exact"/>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合理、可行               5分；</w:t>
            </w:r>
          </w:p>
          <w:p w14:paraId="687A77A7">
            <w:pPr>
              <w:pStyle w:val="22"/>
              <w:keepNext w:val="0"/>
              <w:keepLines w:val="0"/>
              <w:pageBreakBefore w:val="0"/>
              <w:kinsoku/>
              <w:wordWrap/>
              <w:overflowPunct/>
              <w:topLinePunct w:val="0"/>
              <w:bidi w:val="0"/>
              <w:adjustRightInd/>
              <w:snapToGrid/>
              <w:spacing w:line="360" w:lineRule="exact"/>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欠合理，基本可行         3分；</w:t>
            </w:r>
          </w:p>
          <w:p w14:paraId="5A218644">
            <w:pPr>
              <w:keepNext w:val="0"/>
              <w:keepLines w:val="0"/>
              <w:pageBreakBefore w:val="0"/>
              <w:kinsoku/>
              <w:wordWrap/>
              <w:overflowPunct/>
              <w:topLinePunct w:val="0"/>
              <w:bidi w:val="0"/>
              <w:adjustRightInd/>
              <w:snapToGrid/>
              <w:spacing w:line="360" w:lineRule="exact"/>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没有的不得分。</w:t>
            </w:r>
          </w:p>
        </w:tc>
      </w:tr>
      <w:tr w14:paraId="54FC1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6" w:type="dxa"/>
            <w:vMerge w:val="continue"/>
            <w:noWrap w:val="0"/>
            <w:vAlign w:val="center"/>
          </w:tcPr>
          <w:p w14:paraId="56B79EA0">
            <w:pPr>
              <w:pStyle w:val="19"/>
              <w:rPr>
                <w:rFonts w:hint="eastAsia" w:asciiTheme="minorEastAsia" w:hAnsiTheme="minorEastAsia" w:eastAsiaTheme="minorEastAsia" w:cstheme="minorEastAsia"/>
                <w:color w:val="auto"/>
                <w:sz w:val="21"/>
                <w:szCs w:val="21"/>
                <w:highlight w:val="none"/>
              </w:rPr>
            </w:pPr>
          </w:p>
        </w:tc>
        <w:tc>
          <w:tcPr>
            <w:tcW w:w="1183" w:type="dxa"/>
            <w:tcBorders>
              <w:top w:val="single" w:color="auto" w:sz="4" w:space="0"/>
            </w:tcBorders>
            <w:noWrap w:val="0"/>
            <w:vAlign w:val="center"/>
          </w:tcPr>
          <w:p w14:paraId="41619D9C">
            <w:pPr>
              <w:pStyle w:val="1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应急方案</w:t>
            </w:r>
          </w:p>
        </w:tc>
        <w:tc>
          <w:tcPr>
            <w:tcW w:w="897" w:type="dxa"/>
            <w:noWrap w:val="0"/>
            <w:vAlign w:val="center"/>
          </w:tcPr>
          <w:p w14:paraId="2428D8D6">
            <w:pPr>
              <w:pStyle w:val="1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8分</w:t>
            </w:r>
          </w:p>
        </w:tc>
        <w:tc>
          <w:tcPr>
            <w:tcW w:w="5000" w:type="dxa"/>
            <w:noWrap w:val="0"/>
            <w:vAlign w:val="center"/>
          </w:tcPr>
          <w:p w14:paraId="48F1A93C">
            <w:pPr>
              <w:pStyle w:val="1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针对本项目实施的特点有具体的应急响应方案进行评分；有明确的应急服务承诺，应急方案详尽，具有充分的针对性、科学合理可行性的得8分；有应急服务承诺，应急方案完整，具有一定的针对性、科学合理可行性的得6分。有应急服务承诺，应急方案欠合理得3分。</w:t>
            </w:r>
          </w:p>
          <w:p w14:paraId="75138264">
            <w:pPr>
              <w:pStyle w:val="1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没有的不得分。</w:t>
            </w:r>
          </w:p>
        </w:tc>
      </w:tr>
      <w:tr w14:paraId="7EB62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9" w:type="dxa"/>
            <w:gridSpan w:val="2"/>
            <w:noWrap w:val="0"/>
            <w:vAlign w:val="center"/>
          </w:tcPr>
          <w:p w14:paraId="1290E3C0">
            <w:pPr>
              <w:pStyle w:val="1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合计</w:t>
            </w:r>
          </w:p>
        </w:tc>
        <w:tc>
          <w:tcPr>
            <w:tcW w:w="897" w:type="dxa"/>
            <w:tcBorders>
              <w:bottom w:val="single" w:color="auto" w:sz="4" w:space="0"/>
            </w:tcBorders>
            <w:noWrap w:val="0"/>
            <w:vAlign w:val="center"/>
          </w:tcPr>
          <w:p w14:paraId="7906DE60">
            <w:pPr>
              <w:pStyle w:val="1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=SUM(ABOVE)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100</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lang w:val="en-US" w:eastAsia="zh-CN"/>
              </w:rPr>
              <w:t>分</w:t>
            </w:r>
          </w:p>
        </w:tc>
        <w:tc>
          <w:tcPr>
            <w:tcW w:w="5000" w:type="dxa"/>
            <w:tcBorders>
              <w:bottom w:val="single" w:color="auto" w:sz="4" w:space="0"/>
            </w:tcBorders>
            <w:noWrap w:val="0"/>
            <w:vAlign w:val="center"/>
          </w:tcPr>
          <w:p w14:paraId="1C4E04BB">
            <w:pPr>
              <w:pStyle w:val="19"/>
              <w:rPr>
                <w:rFonts w:hint="eastAsia" w:asciiTheme="minorEastAsia" w:hAnsiTheme="minorEastAsia" w:eastAsiaTheme="minorEastAsia" w:cstheme="minorEastAsia"/>
                <w:color w:val="auto"/>
                <w:sz w:val="21"/>
                <w:szCs w:val="21"/>
                <w:highlight w:val="none"/>
              </w:rPr>
            </w:pPr>
          </w:p>
        </w:tc>
      </w:tr>
    </w:tbl>
    <w:p w14:paraId="51D73A5B">
      <w:pPr>
        <w:pStyle w:val="2"/>
        <w:ind w:left="0" w:leftChars="0" w:firstLine="0" w:firstLineChars="0"/>
        <w:rPr>
          <w:lang w:val="zh-CN"/>
        </w:rPr>
        <w:sectPr>
          <w:pgSz w:w="11906" w:h="16838"/>
          <w:pgMar w:top="1440" w:right="1800" w:bottom="1440" w:left="1800" w:header="851" w:footer="992" w:gutter="0"/>
          <w:pgNumType w:fmt="decimal"/>
          <w:cols w:space="720" w:num="1"/>
          <w:docGrid w:type="lines" w:linePitch="312" w:charSpace="0"/>
        </w:sect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72951F93"/>
    <w:sectPr>
      <w:headerReference r:id="rId7" w:type="default"/>
      <w:footerReference r:id="rId8" w:type="default"/>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20B05040202020202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054FF">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CA362D">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3ACA362D">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4BD6E">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D0E59E">
                          <w:pPr>
                            <w:pStyle w:val="7"/>
                          </w:pPr>
                          <w:r>
                            <w:fldChar w:fldCharType="begin"/>
                          </w:r>
                          <w:r>
                            <w:instrText xml:space="preserve"> PAGE  \* MERGEFORMAT </w:instrText>
                          </w:r>
                          <w:r>
                            <w:fldChar w:fldCharType="separate"/>
                          </w:r>
                          <w:r>
                            <w:t>62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6D0E59E">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5BF6F">
    <w:pPr>
      <w:pStyle w:val="8"/>
      <w:jc w:val="right"/>
      <w:rPr>
        <w:sz w:val="24"/>
        <w:szCs w:val="24"/>
      </w:rPr>
    </w:pPr>
    <w:r>
      <w:rPr>
        <w:rFonts w:hint="eastAsia"/>
        <w:sz w:val="24"/>
        <w:szCs w:val="24"/>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0AA86">
    <w:pPr>
      <w:pStyle w:val="8"/>
      <w:jc w:val="right"/>
      <w:rPr>
        <w:sz w:val="24"/>
        <w:szCs w:val="24"/>
      </w:rPr>
    </w:pPr>
    <w:r>
      <w:rPr>
        <w:rFonts w:hint="eastAsia"/>
        <w:sz w:val="24"/>
        <w:szCs w:val="24"/>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940B8"/>
    <w:multiLevelType w:val="singleLevel"/>
    <w:tmpl w:val="B53940B8"/>
    <w:lvl w:ilvl="0" w:tentative="0">
      <w:start w:val="3"/>
      <w:numFmt w:val="chineseCounting"/>
      <w:suff w:val="nothing"/>
      <w:lvlText w:val="%1、"/>
      <w:lvlJc w:val="left"/>
      <w:rPr>
        <w:rFonts w:hint="eastAsia"/>
      </w:rPr>
    </w:lvl>
  </w:abstractNum>
  <w:abstractNum w:abstractNumId="1">
    <w:nsid w:val="18E11C3C"/>
    <w:multiLevelType w:val="multilevel"/>
    <w:tmpl w:val="18E11C3C"/>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8556E30"/>
    <w:multiLevelType w:val="multilevel"/>
    <w:tmpl w:val="28556E3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5107505"/>
    <w:multiLevelType w:val="multilevel"/>
    <w:tmpl w:val="3510750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FA84B13"/>
    <w:multiLevelType w:val="multilevel"/>
    <w:tmpl w:val="3FA84B13"/>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47B6378"/>
    <w:multiLevelType w:val="multilevel"/>
    <w:tmpl w:val="447B6378"/>
    <w:lvl w:ilvl="0" w:tentative="0">
      <w:start w:val="1"/>
      <w:numFmt w:val="decimal"/>
      <w:pStyle w:val="18"/>
      <w:suff w:val="nothing"/>
      <w:lvlText w:val="（%1）"/>
      <w:lvlJc w:val="left"/>
      <w:pPr>
        <w:ind w:left="420"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529F7FE"/>
    <w:multiLevelType w:val="singleLevel"/>
    <w:tmpl w:val="4529F7FE"/>
    <w:lvl w:ilvl="0" w:tentative="0">
      <w:start w:val="1"/>
      <w:numFmt w:val="decimal"/>
      <w:lvlText w:val="%1."/>
      <w:lvlJc w:val="left"/>
      <w:pPr>
        <w:tabs>
          <w:tab w:val="left" w:pos="312"/>
        </w:tabs>
      </w:pPr>
    </w:lvl>
  </w:abstractNum>
  <w:abstractNum w:abstractNumId="7">
    <w:nsid w:val="519869B7"/>
    <w:multiLevelType w:val="multilevel"/>
    <w:tmpl w:val="519869B7"/>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29B3B6E"/>
    <w:multiLevelType w:val="multilevel"/>
    <w:tmpl w:val="529B3B6E"/>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30F2C8E"/>
    <w:multiLevelType w:val="multilevel"/>
    <w:tmpl w:val="530F2C8E"/>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113B276"/>
    <w:multiLevelType w:val="singleLevel"/>
    <w:tmpl w:val="6113B276"/>
    <w:lvl w:ilvl="0" w:tentative="0">
      <w:start w:val="2"/>
      <w:numFmt w:val="chineseCounting"/>
      <w:suff w:val="space"/>
      <w:lvlText w:val="第%1章"/>
      <w:lvlJc w:val="left"/>
      <w:rPr>
        <w:rFonts w:hint="eastAsia"/>
      </w:rPr>
    </w:lvl>
  </w:abstractNum>
  <w:abstractNum w:abstractNumId="11">
    <w:nsid w:val="68B657F2"/>
    <w:multiLevelType w:val="multilevel"/>
    <w:tmpl w:val="68B657F2"/>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9A06F9C"/>
    <w:multiLevelType w:val="multilevel"/>
    <w:tmpl w:val="69A06F9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6DE718F7"/>
    <w:multiLevelType w:val="multilevel"/>
    <w:tmpl w:val="6DE718F7"/>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49D759A"/>
    <w:multiLevelType w:val="multilevel"/>
    <w:tmpl w:val="749D759A"/>
    <w:lvl w:ilvl="0" w:tentative="0">
      <w:start w:val="1"/>
      <w:numFmt w:val="upp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5"/>
  </w:num>
  <w:num w:numId="2">
    <w:abstractNumId w:val="0"/>
  </w:num>
  <w:num w:numId="3">
    <w:abstractNumId w:val="13"/>
  </w:num>
  <w:num w:numId="4">
    <w:abstractNumId w:val="10"/>
  </w:num>
  <w:num w:numId="5">
    <w:abstractNumId w:val="6"/>
  </w:num>
  <w:num w:numId="6">
    <w:abstractNumId w:val="1"/>
  </w:num>
  <w:num w:numId="7">
    <w:abstractNumId w:val="3"/>
  </w:num>
  <w:num w:numId="8">
    <w:abstractNumId w:val="4"/>
  </w:num>
  <w:num w:numId="9">
    <w:abstractNumId w:val="2"/>
  </w:num>
  <w:num w:numId="10">
    <w:abstractNumId w:val="7"/>
  </w:num>
  <w:num w:numId="11">
    <w:abstractNumId w:val="9"/>
  </w:num>
  <w:num w:numId="12">
    <w:abstractNumId w:val="14"/>
  </w:num>
  <w:num w:numId="13">
    <w:abstractNumId w:val="12"/>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mNTE2MWMxM2RjOTI0ODU3ZmE1NWI3MDc2OTdiZjkifQ=="/>
  </w:docVars>
  <w:rsids>
    <w:rsidRoot w:val="00000000"/>
    <w:rsid w:val="007B1976"/>
    <w:rsid w:val="03713496"/>
    <w:rsid w:val="04E94BFC"/>
    <w:rsid w:val="09E56B85"/>
    <w:rsid w:val="1827674B"/>
    <w:rsid w:val="1E634C03"/>
    <w:rsid w:val="20C61CD9"/>
    <w:rsid w:val="2F0636D9"/>
    <w:rsid w:val="36D90E6C"/>
    <w:rsid w:val="38D81DA2"/>
    <w:rsid w:val="3B336B77"/>
    <w:rsid w:val="458025D3"/>
    <w:rsid w:val="4AAA26E5"/>
    <w:rsid w:val="4D4128AF"/>
    <w:rsid w:val="651641C9"/>
    <w:rsid w:val="698F484C"/>
    <w:rsid w:val="70E75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宋体" w:hAnsi="宋体" w:eastAsia="宋体" w:cs="Times New Roman"/>
      <w:kern w:val="2"/>
      <w:sz w:val="24"/>
      <w:szCs w:val="22"/>
      <w:lang w:val="en-US" w:eastAsia="zh-CN" w:bidi="ar-SA"/>
    </w:rPr>
  </w:style>
  <w:style w:type="paragraph" w:styleId="3">
    <w:name w:val="heading 1"/>
    <w:basedOn w:val="1"/>
    <w:next w:val="1"/>
    <w:qFormat/>
    <w:uiPriority w:val="9"/>
    <w:pPr>
      <w:keepNext/>
      <w:keepLines/>
      <w:spacing w:before="340" w:after="330" w:line="578" w:lineRule="auto"/>
      <w:jc w:val="center"/>
      <w:outlineLvl w:val="0"/>
    </w:pPr>
    <w:rPr>
      <w:rFonts w:eastAsia="黑体"/>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等线 Light" w:hAnsi="等线 Light" w:cs="Times New Roman"/>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0"/>
      <w:szCs w:val="32"/>
    </w:rPr>
  </w:style>
  <w:style w:type="paragraph" w:styleId="6">
    <w:name w:val="heading 4"/>
    <w:basedOn w:val="1"/>
    <w:next w:val="1"/>
    <w:unhideWhenUsed/>
    <w:qFormat/>
    <w:uiPriority w:val="9"/>
    <w:pPr>
      <w:keepNext/>
      <w:keepLines/>
      <w:spacing w:before="280" w:after="290" w:line="376" w:lineRule="auto"/>
      <w:outlineLvl w:val="3"/>
    </w:pPr>
    <w:rPr>
      <w:rFonts w:ascii="等线 Light" w:hAnsi="等线 Light" w:cs="Times New Roman"/>
      <w:b/>
      <w:bCs/>
      <w:sz w:val="28"/>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hint="eastAsia" w:ascii="宋体" w:hAnsi="宋体"/>
      <w:kern w:val="0"/>
      <w:sz w:val="20"/>
    </w:rPr>
  </w:style>
  <w:style w:type="paragraph" w:styleId="7">
    <w:name w:val="footer"/>
    <w:basedOn w:val="1"/>
    <w:unhideWhenUsed/>
    <w:qFormat/>
    <w:uiPriority w:val="99"/>
    <w:pPr>
      <w:tabs>
        <w:tab w:val="center" w:pos="4153"/>
        <w:tab w:val="right" w:pos="8306"/>
      </w:tabs>
      <w:snapToGrid w:val="0"/>
      <w:spacing w:line="240" w:lineRule="auto"/>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99"/>
    <w:pPr>
      <w:widowControl/>
      <w:spacing w:before="100" w:beforeAutospacing="1" w:after="100" w:afterAutospacing="1"/>
    </w:pPr>
    <w:rPr>
      <w:rFonts w:cs="宋体"/>
      <w:color w:val="000000"/>
      <w:kern w:val="0"/>
      <w:szCs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unhideWhenUsed/>
    <w:qFormat/>
    <w:uiPriority w:val="99"/>
    <w:rPr>
      <w:color w:val="0563C1"/>
      <w:u w:val="single"/>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正文缩进2"/>
    <w:basedOn w:val="1"/>
    <w:qFormat/>
    <w:uiPriority w:val="0"/>
    <w:pPr>
      <w:wordWrap w:val="0"/>
      <w:ind w:firstLine="480"/>
    </w:pPr>
    <w:rPr>
      <w:iCs/>
      <w:shd w:val="clear" w:color="auto" w:fill="FFFFFF"/>
      <w:lang w:val="zh-CN"/>
    </w:rPr>
  </w:style>
  <w:style w:type="paragraph" w:styleId="18">
    <w:name w:val="List Paragraph"/>
    <w:basedOn w:val="1"/>
    <w:qFormat/>
    <w:uiPriority w:val="34"/>
    <w:pPr>
      <w:numPr>
        <w:ilvl w:val="0"/>
        <w:numId w:val="1"/>
      </w:numPr>
    </w:pPr>
  </w:style>
  <w:style w:type="paragraph" w:styleId="19">
    <w:name w:val="No Spacing"/>
    <w:qFormat/>
    <w:uiPriority w:val="1"/>
    <w:pPr>
      <w:widowControl w:val="0"/>
    </w:pPr>
    <w:rPr>
      <w:rFonts w:ascii="宋体" w:hAnsi="宋体" w:eastAsia="宋体" w:cs="Times New Roman"/>
      <w:kern w:val="2"/>
      <w:sz w:val="24"/>
      <w:szCs w:val="22"/>
      <w:lang w:val="en-US" w:eastAsia="zh-CN" w:bidi="ar-SA"/>
    </w:rPr>
  </w:style>
  <w:style w:type="paragraph" w:customStyle="1" w:styleId="20">
    <w:name w:val="表格"/>
    <w:qFormat/>
    <w:uiPriority w:val="0"/>
    <w:rPr>
      <w:rFonts w:ascii="Times New Roman" w:hAnsi="Times New Roman" w:eastAsia="宋体" w:cs="Times New Roman"/>
      <w:kern w:val="2"/>
      <w:sz w:val="28"/>
      <w:szCs w:val="22"/>
      <w:lang w:val="en-US" w:eastAsia="zh-CN" w:bidi="ar-SA"/>
    </w:rPr>
  </w:style>
  <w:style w:type="paragraph" w:customStyle="1" w:styleId="21">
    <w:name w:val="Char1 Char Char Char"/>
    <w:basedOn w:val="1"/>
    <w:qFormat/>
    <w:uiPriority w:val="0"/>
    <w:pPr>
      <w:adjustRightInd w:val="0"/>
      <w:jc w:val="both"/>
    </w:pPr>
    <w:rPr>
      <w:rFonts w:ascii="Times New Roman" w:hAnsi="Times New Roman" w:cs="Times New Roman"/>
      <w:kern w:val="0"/>
      <w:szCs w:val="20"/>
    </w:rPr>
  </w:style>
  <w:style w:type="paragraph" w:customStyle="1" w:styleId="22">
    <w:name w:val="Normal_0"/>
    <w:qFormat/>
    <w:uiPriority w:val="0"/>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8818</Words>
  <Characters>9213</Characters>
  <Lines>0</Lines>
  <Paragraphs>0</Paragraphs>
  <TotalTime>20</TotalTime>
  <ScaleCrop>false</ScaleCrop>
  <LinksUpToDate>false</LinksUpToDate>
  <CharactersWithSpaces>9317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2024-11-14T00:40:00Z</dcterms:created>
  <dc:creator>Administrator</dc:creator>
  <cp:lastModifiedBy>闵钊</cp:lastModifiedBy>
  <dcterms:modified xsi:type="dcterms:W3CDTF">2025-09-17T08:14:31Z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0865CB4FF9084E8794D719EECD21F4FE_12</vt:lpwstr>
  </property>
  <property fmtid="{D5CDD505-2E9C-101B-9397-08002B2CF9AE}" pid="4" name="KSOTemplateDocerSaveRecord">
    <vt:lpwstr>eyJoZGlkIjoiYjZmNTE2MWMxM2RjOTI0ODU3ZmE1NWI3MDc2OTdiZjkiLCJ1c2VySWQiOiIxMDgyODUwODQyIn0=</vt:lpwstr>
  </property>
</Properties>
</file>